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left"/>
        <w:rPr>
          <w:rFonts w:hint="eastAsia" w:eastAsia="方正小标宋简体"/>
          <w:b/>
          <w:sz w:val="58"/>
          <w:szCs w:val="48"/>
          <w:lang w:eastAsia="zh-CN"/>
        </w:rPr>
      </w:pPr>
      <w:r>
        <w:rPr>
          <w:rFonts w:hint="eastAsia" w:eastAsia="方正小标宋简体"/>
          <w:b/>
          <w:sz w:val="58"/>
          <w:szCs w:val="48"/>
          <w:lang w:eastAsia="zh-CN"/>
        </w:rPr>
        <w:drawing>
          <wp:inline distT="0" distB="0" distL="114300" distR="114300">
            <wp:extent cx="3520440" cy="679450"/>
            <wp:effectExtent l="0" t="0" r="3810" b="6350"/>
            <wp:docPr id="3" name="图片 3" descr="透明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透明logo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20440" cy="67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880" w:lineRule="exact"/>
        <w:jc w:val="center"/>
        <w:rPr>
          <w:rFonts w:eastAsia="方正小标宋简体"/>
          <w:b/>
          <w:sz w:val="58"/>
          <w:szCs w:val="48"/>
        </w:rPr>
      </w:pPr>
    </w:p>
    <w:p>
      <w:pPr>
        <w:pStyle w:val="2"/>
      </w:pPr>
    </w:p>
    <w:p>
      <w:pPr>
        <w:pStyle w:val="2"/>
        <w:spacing w:line="600" w:lineRule="auto"/>
      </w:pPr>
    </w:p>
    <w:p>
      <w:pPr>
        <w:spacing w:line="600" w:lineRule="auto"/>
        <w:jc w:val="center"/>
        <w:rPr>
          <w:rFonts w:hint="eastAsia" w:ascii="方正小标宋_GBK" w:hAnsi="华文仿宋" w:eastAsia="方正小标宋_GBK"/>
          <w:b/>
          <w:bCs/>
          <w:sz w:val="52"/>
          <w:szCs w:val="52"/>
          <w:lang w:val="zh-CN"/>
        </w:rPr>
      </w:pPr>
      <w:r>
        <w:rPr>
          <w:rFonts w:hint="eastAsia" w:ascii="方正小标宋_GBK" w:hAnsi="华文仿宋" w:eastAsia="方正小标宋_GBK"/>
          <w:b/>
          <w:bCs/>
          <w:sz w:val="52"/>
          <w:szCs w:val="52"/>
          <w:lang w:val="zh-CN"/>
        </w:rPr>
        <w:t>重庆建筑工程职业学院</w:t>
      </w:r>
    </w:p>
    <w:p>
      <w:pPr>
        <w:spacing w:line="600" w:lineRule="auto"/>
        <w:jc w:val="center"/>
        <w:rPr>
          <w:rFonts w:hint="eastAsia" w:ascii="方正小标宋_GBK" w:hAnsi="华文仿宋" w:eastAsia="方正小标宋_GBK"/>
          <w:b/>
          <w:bCs/>
          <w:sz w:val="52"/>
          <w:szCs w:val="52"/>
          <w:lang w:val="zh-CN" w:eastAsia="zh-CN"/>
        </w:rPr>
      </w:pPr>
      <w:r>
        <w:rPr>
          <w:rFonts w:hint="eastAsia" w:ascii="方正小标宋_GBK" w:hAnsi="华文仿宋" w:eastAsia="方正小标宋_GBK"/>
          <w:b/>
          <w:bCs/>
          <w:sz w:val="52"/>
          <w:szCs w:val="52"/>
          <w:lang w:val="zh-CN" w:eastAsia="zh-CN"/>
        </w:rPr>
        <w:t>全国职业院校评估数据采集系统</w:t>
      </w:r>
    </w:p>
    <w:p>
      <w:pPr>
        <w:spacing w:line="600" w:lineRule="auto"/>
        <w:jc w:val="center"/>
        <w:rPr>
          <w:rFonts w:hint="eastAsia" w:ascii="方正小标宋_GBK" w:hAnsi="华文仿宋" w:eastAsia="方正小标宋_GBK"/>
          <w:b/>
          <w:bCs/>
          <w:sz w:val="52"/>
          <w:szCs w:val="52"/>
          <w:lang w:val="zh-CN"/>
        </w:rPr>
      </w:pPr>
      <w:r>
        <w:rPr>
          <w:rFonts w:hint="eastAsia" w:ascii="方正小标宋_GBK" w:hAnsi="华文仿宋" w:eastAsia="方正小标宋_GBK"/>
          <w:b/>
          <w:bCs/>
          <w:sz w:val="52"/>
          <w:szCs w:val="52"/>
          <w:lang w:val="zh-CN" w:eastAsia="zh-CN"/>
        </w:rPr>
        <w:t>自评</w:t>
      </w:r>
      <w:r>
        <w:rPr>
          <w:rFonts w:hint="eastAsia" w:ascii="方正小标宋_GBK" w:hAnsi="华文仿宋" w:eastAsia="方正小标宋_GBK"/>
          <w:b/>
          <w:bCs/>
          <w:sz w:val="52"/>
          <w:szCs w:val="52"/>
          <w:lang w:val="zh-CN"/>
        </w:rPr>
        <w:t>报告</w:t>
      </w:r>
    </w:p>
    <w:p>
      <w:pPr>
        <w:jc w:val="center"/>
        <w:rPr>
          <w:rFonts w:ascii="黑体" w:hAnsi="华文仿宋" w:eastAsia="黑体"/>
          <w:b/>
          <w:bCs/>
          <w:sz w:val="52"/>
          <w:szCs w:val="52"/>
          <w:lang w:val="zh-CN"/>
        </w:rPr>
      </w:pPr>
    </w:p>
    <w:p>
      <w:pPr>
        <w:jc w:val="center"/>
        <w:rPr>
          <w:rFonts w:ascii="黑体" w:hAnsi="华文仿宋" w:eastAsia="黑体"/>
          <w:b/>
          <w:bCs/>
          <w:sz w:val="52"/>
          <w:szCs w:val="52"/>
          <w:lang w:val="zh-CN"/>
        </w:rPr>
      </w:pPr>
    </w:p>
    <w:p>
      <w:pPr>
        <w:jc w:val="center"/>
        <w:rPr>
          <w:rFonts w:ascii="黑体" w:hAnsi="华文仿宋" w:eastAsia="黑体"/>
          <w:b/>
          <w:bCs/>
          <w:sz w:val="52"/>
          <w:szCs w:val="52"/>
          <w:lang w:val="zh-CN"/>
        </w:rPr>
      </w:pPr>
    </w:p>
    <w:p>
      <w:pPr>
        <w:jc w:val="center"/>
        <w:rPr>
          <w:rFonts w:ascii="黑体" w:hAnsi="华文仿宋" w:eastAsia="黑体"/>
          <w:b/>
          <w:bCs/>
          <w:sz w:val="52"/>
          <w:szCs w:val="52"/>
          <w:lang w:val="zh-CN"/>
        </w:rPr>
      </w:pPr>
    </w:p>
    <w:p>
      <w:pPr>
        <w:jc w:val="center"/>
        <w:rPr>
          <w:rFonts w:ascii="黑体" w:hAnsi="华文仿宋" w:eastAsia="黑体"/>
          <w:b/>
          <w:bCs/>
          <w:sz w:val="52"/>
          <w:szCs w:val="52"/>
          <w:lang w:val="zh-CN"/>
        </w:rPr>
      </w:pPr>
    </w:p>
    <w:p>
      <w:pPr>
        <w:jc w:val="center"/>
        <w:rPr>
          <w:rFonts w:ascii="黑体" w:hAnsi="华文仿宋" w:eastAsia="黑体"/>
          <w:b/>
          <w:bCs/>
          <w:sz w:val="52"/>
          <w:szCs w:val="52"/>
          <w:lang w:val="zh-CN"/>
        </w:rPr>
      </w:pPr>
    </w:p>
    <w:p>
      <w:pPr>
        <w:jc w:val="center"/>
        <w:rPr>
          <w:rFonts w:ascii="黑体" w:hAnsi="华文仿宋" w:eastAsia="黑体"/>
          <w:b/>
          <w:bCs/>
          <w:sz w:val="52"/>
          <w:szCs w:val="52"/>
          <w:lang w:val="zh-CN"/>
        </w:rPr>
      </w:pPr>
    </w:p>
    <w:p>
      <w:pPr>
        <w:jc w:val="center"/>
        <w:rPr>
          <w:rFonts w:ascii="方正黑体_GBK" w:hAnsi="华文细黑" w:eastAsia="方正黑体_GBK"/>
          <w:bCs/>
          <w:sz w:val="44"/>
          <w:szCs w:val="44"/>
          <w:lang w:val="zh-CN"/>
        </w:rPr>
      </w:pPr>
      <w:r>
        <w:rPr>
          <w:rFonts w:ascii="方正黑体_GBK" w:hAnsi="华文细黑" w:eastAsia="方正黑体_GBK"/>
          <w:bCs/>
          <w:sz w:val="44"/>
          <w:szCs w:val="44"/>
          <w:lang w:val="zh-CN"/>
        </w:rPr>
        <w:t>20</w:t>
      </w:r>
      <w:r>
        <w:rPr>
          <w:rFonts w:hint="eastAsia" w:ascii="方正黑体_GBK" w:hAnsi="华文细黑" w:eastAsia="方正黑体_GBK"/>
          <w:bCs/>
          <w:sz w:val="44"/>
          <w:szCs w:val="44"/>
          <w:lang w:val="en-US" w:eastAsia="zh-CN"/>
        </w:rPr>
        <w:t>20</w:t>
      </w:r>
      <w:r>
        <w:rPr>
          <w:rFonts w:hint="eastAsia" w:ascii="方正黑体_GBK" w:hAnsi="华文细黑" w:eastAsia="方正黑体_GBK"/>
          <w:bCs/>
          <w:sz w:val="44"/>
          <w:szCs w:val="44"/>
          <w:lang w:val="zh-CN"/>
        </w:rPr>
        <w:t>年</w:t>
      </w:r>
      <w:r>
        <w:rPr>
          <w:rFonts w:ascii="方正黑体_GBK" w:hAnsi="华文细黑" w:eastAsia="方正黑体_GBK"/>
          <w:bCs/>
          <w:sz w:val="44"/>
          <w:szCs w:val="44"/>
          <w:lang w:val="zh-CN"/>
        </w:rPr>
        <w:t>1</w:t>
      </w:r>
      <w:r>
        <w:rPr>
          <w:rFonts w:hint="eastAsia" w:ascii="方正黑体_GBK" w:hAnsi="华文细黑" w:eastAsia="方正黑体_GBK"/>
          <w:bCs/>
          <w:sz w:val="44"/>
          <w:szCs w:val="44"/>
          <w:lang w:val="en-US" w:eastAsia="zh-CN"/>
        </w:rPr>
        <w:t>0</w:t>
      </w:r>
      <w:r>
        <w:rPr>
          <w:rFonts w:hint="eastAsia" w:ascii="方正黑体_GBK" w:hAnsi="华文细黑" w:eastAsia="方正黑体_GBK"/>
          <w:bCs/>
          <w:sz w:val="44"/>
          <w:szCs w:val="44"/>
          <w:lang w:val="zh-CN"/>
        </w:rPr>
        <w:t>月</w:t>
      </w:r>
    </w:p>
    <w:p>
      <w:pPr>
        <w:spacing w:before="312" w:beforeLines="100" w:line="600" w:lineRule="exact"/>
        <w:jc w:val="both"/>
        <w:rPr>
          <w:rFonts w:hint="eastAsia" w:ascii="Times New Roman" w:hAnsi="Times New Roman" w:eastAsia="方正小标宋_GBK"/>
          <w:sz w:val="44"/>
          <w:szCs w:val="44"/>
        </w:rPr>
        <w:sectPr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spacing w:before="312" w:beforeLines="100" w:line="600" w:lineRule="exact"/>
        <w:jc w:val="center"/>
        <w:rPr>
          <w:rFonts w:ascii="Times New Roman" w:hAnsi="Times New Roman" w:eastAsia="方正小标宋_GBK"/>
          <w:sz w:val="44"/>
          <w:szCs w:val="44"/>
        </w:rPr>
      </w:pPr>
      <w:r>
        <w:rPr>
          <w:rFonts w:hint="eastAsia" w:ascii="Times New Roman" w:hAnsi="Times New Roman" w:eastAsia="方正小标宋_GBK"/>
          <w:sz w:val="44"/>
          <w:szCs w:val="44"/>
        </w:rPr>
        <w:t>重庆建筑</w:t>
      </w:r>
      <w:r>
        <w:rPr>
          <w:rFonts w:ascii="Times New Roman" w:hAnsi="Times New Roman" w:eastAsia="方正小标宋_GBK"/>
          <w:sz w:val="44"/>
          <w:szCs w:val="44"/>
        </w:rPr>
        <w:t>工程职业学院</w:t>
      </w:r>
    </w:p>
    <w:p>
      <w:pPr>
        <w:spacing w:after="312" w:afterLines="100" w:line="600" w:lineRule="exact"/>
        <w:jc w:val="center"/>
        <w:rPr>
          <w:rFonts w:ascii="Times New Roman" w:hAnsi="Times New Roman" w:eastAsia="方正小标宋_GBK"/>
          <w:sz w:val="44"/>
          <w:szCs w:val="44"/>
        </w:rPr>
      </w:pPr>
      <w:r>
        <w:rPr>
          <w:rFonts w:hint="eastAsia" w:ascii="Times New Roman" w:hAnsi="Times New Roman" w:eastAsia="方正小标宋_GBK"/>
          <w:sz w:val="44"/>
          <w:szCs w:val="44"/>
          <w:lang w:eastAsia="zh-CN"/>
        </w:rPr>
        <w:t>全国职业院校评估数据采集系统自评</w:t>
      </w:r>
      <w:r>
        <w:rPr>
          <w:rFonts w:ascii="Times New Roman" w:hAnsi="Times New Roman" w:eastAsia="方正小标宋_GBK"/>
          <w:sz w:val="44"/>
          <w:szCs w:val="44"/>
        </w:rPr>
        <w:t>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为落实《国家中长期教育改革和发展规划纲要（2010-2020年）》和《国务院关于加快发展现代职业教育的决定》，按照《国务院教育督导委员会办公室关于开展2020年全国职业院校评估工作的通知》（国教督办函〔2020〕25号）文件精神，我院围绕《高等职业院校适应社会需求能力评估暂行办法》（国教督办〔2016〕3号）中评估指标，认真开展了评估自查工作，现将自评情况总结如下：</w:t>
      </w:r>
    </w:p>
    <w:p>
      <w:pPr>
        <w:pStyle w:val="2"/>
        <w:rPr>
          <w:rFonts w:hint="default"/>
        </w:rPr>
      </w:pPr>
    </w:p>
    <w:p>
      <w:pPr>
        <w:pStyle w:val="9"/>
        <w:widowControl/>
        <w:numPr>
          <w:ilvl w:val="0"/>
          <w:numId w:val="0"/>
        </w:numPr>
        <w:spacing w:line="560" w:lineRule="exact"/>
        <w:jc w:val="center"/>
        <w:outlineLvl w:val="0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6"/>
          <w:szCs w:val="36"/>
          <w:lang w:val="en-US" w:eastAsia="zh-CN"/>
        </w:rPr>
        <w:t>第一部分 基本情况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0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highlight w:val="none"/>
          <w:lang w:val="en-US" w:eastAsia="zh-CN"/>
        </w:rPr>
        <w:t>一、学校概述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重庆建筑工程职业学院建校于1956年，位于重庆市主城南岸区茶园新区，占地520余亩，现有在校学生8300余人。是重庆市唯一一所公办全日制建设类高等院校，重庆市优质高等职业院校立项建设单位，重庆市专本贯通试点单位，教育部首批1+X证书制度试点院校、首批国家级职业教育教师教学创新团队立项建设单位，重庆市第一批智慧校园建设示范学校、职业院校数字校园建设实验校，教育部2018年度网络学习空间应用普及活动优秀学校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学校有国家级、市级重点实训基地9个，相对稳定的校外实训实习基地90余个。2013年建成重庆市高职院校首个工程体验馆，2015年建成重庆市高职院校首个BIM实训中心， 2017年建成VR实训基地。目前正在建设3.2万平米的综合实训基地和1万平米的建筑产业现代化实训基地。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0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highlight w:val="none"/>
          <w:lang w:val="en-US" w:eastAsia="zh-CN"/>
        </w:rPr>
        <w:t>二、自评工作开展情况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我院按照国家、市教委文件精神的要求，按照学院“十三五”规划，周密部署，统筹安排，认真开展高等职业院校适应社会需求能力评估自查工作。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/>
          <w:bCs/>
          <w:color w:val="auto"/>
          <w:sz w:val="32"/>
          <w:szCs w:val="32"/>
          <w:lang w:val="en-US" w:eastAsia="zh-CN"/>
        </w:rPr>
        <w:t>（一）成立组织机构，明确职责任务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学院成立了由院长担任组长，主管教学的副院长担任副组长，教务处、组人处、实训中心、财务处、后勤处以及各教学部门的负责人为成员的评估工作领导小组，下设自评工作办公室，将指标逐一落实到每个部门和责任人，做到责任分工明确、工作标准明确、时间节点明确，同时将任务完成情况纳入年度绩效考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方正楷体_GBK" w:hAnsi="方正楷体_GBK" w:eastAsia="方正楷体_GBK" w:cs="方正楷体_GBK"/>
          <w:b/>
          <w:bCs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  <w:t>（二）深入研究政策，加强学习宣传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深入研究各级相关政策文件，深入解读和分解《高等职业院校适应社会需求能力评估暂行办法》，组织相关部门认真学习评估工作要求、数据采集项说明、评估工具的操作指南，确保自评工作顺利开展。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  <w:t>（三）认真评估自查，积极逐一整改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根据《高等职业院校适应社会需求能力评估暂行办法》的要求，对照办学基础能力、“双师”队伍建设、专业人才培养、学生发展和社会服务能力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/>
          <w:lang w:val="en-US" w:eastAsia="zh-CN"/>
        </w:rPr>
        <w:t>5个A级指标、15个B级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指标，逐一自查评估。针对自查中发现的问题，逐项落实整改措施，以评促建，以评促改，并由自评工作办公室监督整改。</w:t>
      </w:r>
    </w:p>
    <w:p>
      <w:pPr>
        <w:pStyle w:val="9"/>
        <w:widowControl/>
        <w:numPr>
          <w:ilvl w:val="0"/>
          <w:numId w:val="0"/>
        </w:numPr>
        <w:shd w:val="clear"/>
        <w:spacing w:line="560" w:lineRule="exact"/>
        <w:jc w:val="center"/>
        <w:outlineLvl w:val="0"/>
        <w:rPr>
          <w:rFonts w:hint="eastAsia" w:ascii="方正黑体_GBK" w:hAnsi="方正黑体_GBK" w:eastAsia="方正黑体_GBK" w:cs="方正黑体_GBK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6"/>
          <w:szCs w:val="36"/>
          <w:lang w:val="en-US" w:eastAsia="zh-CN"/>
        </w:rPr>
        <w:t>第二部分 适应社会需求能力基本评价和结论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0"/>
        <w:rPr>
          <w:rFonts w:hint="eastAsia" w:ascii="黑体" w:hAnsi="宋体" w:eastAsia="黑体" w:cs="黑体"/>
          <w:i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eastAsia" w:ascii="黑体" w:hAnsi="宋体" w:eastAsia="黑体" w:cs="黑体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一、办学基础</w:t>
      </w:r>
      <w:r>
        <w:rPr>
          <w:rFonts w:hint="eastAsia" w:ascii="黑体" w:hAnsi="宋体" w:eastAsia="黑体" w:cs="黑体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能力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outlineLvl w:val="0"/>
        <w:rPr>
          <w:rFonts w:hint="eastAsia" w:ascii="方正楷体_GBK" w:hAnsi="方正楷体_GBK" w:eastAsia="方正楷体_GBK" w:cs="方正楷体_GBK"/>
          <w:b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（一）</w:t>
      </w:r>
      <w:r>
        <w:rPr>
          <w:rFonts w:hint="eastAsia" w:ascii="方正楷体_GBK" w:hAnsi="方正楷体_GBK" w:eastAsia="方正楷体_GBK" w:cs="方正楷体_GBK"/>
          <w:b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年生均财政拨款水平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/>
          <w:lang w:val="en-US" w:eastAsia="zh-CN"/>
        </w:rPr>
        <w:t>2019年全校办学经费总收入21806.39万元，其中国家财政性教育收入11702.38；事业收入：7353.28万元；学费收入：7341.28万元；其他收入:2750.73万元。年生均财政拨款水平1.26万元。学院经费优先用于基础设施建设和教学经费开支,全年投入基础设施建设资金6252万元，日常教学经费开支2193.21万元，实验实训条件改善2200.27万元，师资队伍建设167.35万元，教学改革及研究268.86万元，图书采购116.04万元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。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3" w:firstLineChars="200"/>
        <w:jc w:val="both"/>
        <w:textAlignment w:val="auto"/>
        <w:outlineLvl w:val="0"/>
        <w:rPr>
          <w:rFonts w:hint="eastAsia" w:ascii="方正楷体_GBK" w:hAnsi="方正楷体_GBK" w:eastAsia="方正楷体_GBK" w:cs="方正楷体_GBK"/>
          <w:b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eastAsia" w:ascii="方正楷体_GBK" w:hAnsi="方正楷体_GBK" w:eastAsia="方正楷体_GBK" w:cs="方正楷体_GBK"/>
          <w:b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（二）</w:t>
      </w:r>
      <w:r>
        <w:rPr>
          <w:rFonts w:hint="eastAsia" w:ascii="方正楷体_GBK" w:hAnsi="方正楷体_GBK" w:eastAsia="方正楷体_GBK" w:cs="方正楷体_GBK"/>
          <w:b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生均教学仪器设备配置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学院已经建成</w:t>
      </w: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highlight w:val="none"/>
        </w:rPr>
        <w:t>9个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重庆市重点实验实训基地，设有60多个校内实训项目，1/3的教学任务在实训基地完成。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学院现有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</w:rPr>
        <w:t>教学科研仪器设备资产总值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  <w:t>5320.42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</w:rPr>
        <w:t>万元，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2019年新增教学科研仪器设备值8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38.2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万元。</w:t>
      </w:r>
    </w:p>
    <w:p>
      <w:pPr>
        <w:jc w:val="center"/>
        <w:rPr>
          <w:rFonts w:hint="eastAsia" w:ascii="方正仿宋_GBK" w:hAnsi="方正仿宋_GBK" w:eastAsia="方正仿宋_GBK" w:cs="方正仿宋_GBK"/>
          <w:b/>
          <w:bCs/>
          <w:sz w:val="24"/>
          <w:szCs w:val="24"/>
          <w:lang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24"/>
          <w:szCs w:val="24"/>
        </w:rPr>
        <w:t>表1  2019-2020学年教学科研仪器设备情况一览表</w:t>
      </w:r>
    </w:p>
    <w:tbl>
      <w:tblPr>
        <w:tblStyle w:val="10"/>
        <w:tblW w:w="8966" w:type="dxa"/>
        <w:tblInd w:w="-2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7"/>
        <w:gridCol w:w="1825"/>
        <w:gridCol w:w="2006"/>
        <w:gridCol w:w="1934"/>
        <w:gridCol w:w="16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1597" w:type="dxa"/>
            <w:shd w:val="clear" w:color="auto" w:fill="8DB3E2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教学科研仪器设备（万元）</w:t>
            </w:r>
          </w:p>
        </w:tc>
        <w:tc>
          <w:tcPr>
            <w:tcW w:w="1825" w:type="dxa"/>
            <w:shd w:val="clear" w:color="auto" w:fill="8DB3E2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生均教学科研仪器设备值（元</w:t>
            </w:r>
            <w:r>
              <w:rPr>
                <w:rFonts w:ascii="仿宋" w:hAnsi="仿宋" w:eastAsia="仿宋" w:cs="仿宋"/>
                <w:b/>
                <w:bCs/>
                <w:szCs w:val="21"/>
              </w:rPr>
              <w:t>/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生）</w:t>
            </w:r>
          </w:p>
        </w:tc>
        <w:tc>
          <w:tcPr>
            <w:tcW w:w="2006" w:type="dxa"/>
            <w:shd w:val="clear" w:color="auto" w:fill="8DB3E2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当年新增教学科研仪器设备值（万元）</w:t>
            </w:r>
          </w:p>
        </w:tc>
        <w:tc>
          <w:tcPr>
            <w:tcW w:w="1934" w:type="dxa"/>
            <w:shd w:val="clear" w:color="auto" w:fill="8DB3E2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新增教学科研仪器设备所占比例（</w:t>
            </w:r>
            <w:r>
              <w:rPr>
                <w:rFonts w:ascii="仿宋" w:hAnsi="仿宋" w:eastAsia="仿宋" w:cs="仿宋"/>
                <w:b/>
                <w:bCs/>
                <w:szCs w:val="21"/>
              </w:rPr>
              <w:t>%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）</w:t>
            </w:r>
          </w:p>
        </w:tc>
        <w:tc>
          <w:tcPr>
            <w:tcW w:w="1604" w:type="dxa"/>
            <w:shd w:val="clear" w:color="auto" w:fill="8DB3E2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教学科研仪器（台套）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597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  <w:highlight w:val="yellow"/>
              </w:rPr>
            </w:pPr>
            <w:r>
              <w:rPr>
                <w:rFonts w:hint="eastAsia" w:ascii="仿宋" w:hAnsi="仿宋" w:eastAsia="仿宋" w:cs="仿宋"/>
                <w:szCs w:val="21"/>
                <w:highlight w:val="none"/>
                <w:lang w:val="en-US" w:eastAsia="zh-CN"/>
              </w:rPr>
              <w:t>5320.42</w:t>
            </w:r>
          </w:p>
        </w:tc>
        <w:tc>
          <w:tcPr>
            <w:tcW w:w="1825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highlight w:val="none"/>
                <w:lang w:val="en-US" w:eastAsia="zh-CN"/>
              </w:rPr>
              <w:t>6395.50</w:t>
            </w:r>
          </w:p>
        </w:tc>
        <w:tc>
          <w:tcPr>
            <w:tcW w:w="2006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highlight w:val="none"/>
                <w:lang w:val="en-US" w:eastAsia="zh-CN"/>
              </w:rPr>
              <w:t>838.2</w:t>
            </w:r>
          </w:p>
        </w:tc>
        <w:tc>
          <w:tcPr>
            <w:tcW w:w="1934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highlight w:val="none"/>
                <w:lang w:val="en-US" w:eastAsia="zh-CN"/>
              </w:rPr>
              <w:t>15.75</w:t>
            </w:r>
          </w:p>
        </w:tc>
        <w:tc>
          <w:tcPr>
            <w:tcW w:w="1604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  <w:highlight w:val="yellow"/>
              </w:rPr>
            </w:pPr>
            <w:r>
              <w:rPr>
                <w:rFonts w:hint="eastAsia" w:ascii="仿宋" w:hAnsi="仿宋" w:eastAsia="仿宋" w:cs="仿宋"/>
                <w:szCs w:val="21"/>
                <w:highlight w:val="none"/>
                <w:lang w:val="en-US" w:eastAsia="zh-CN"/>
              </w:rPr>
              <w:t>4783</w:t>
            </w:r>
          </w:p>
        </w:tc>
      </w:tr>
    </w:tbl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3" w:firstLineChars="200"/>
        <w:jc w:val="both"/>
        <w:textAlignment w:val="auto"/>
        <w:outlineLvl w:val="0"/>
        <w:rPr>
          <w:rFonts w:hint="eastAsia" w:ascii="方正楷体_GBK" w:hAnsi="方正楷体_GBK" w:eastAsia="方正楷体_GBK" w:cs="方正楷体_GBK"/>
          <w:i w:val="0"/>
          <w:caps w:val="0"/>
          <w:color w:val="000000"/>
          <w:spacing w:val="0"/>
          <w:sz w:val="32"/>
          <w:szCs w:val="32"/>
          <w:highlight w:val="yellow"/>
          <w:shd w:val="clear" w:color="auto" w:fill="FFFFFF"/>
        </w:rPr>
      </w:pPr>
      <w:r>
        <w:rPr>
          <w:rFonts w:hint="eastAsia" w:ascii="方正楷体_GBK" w:hAnsi="方正楷体_GBK" w:eastAsia="方正楷体_GBK" w:cs="方正楷体_GBK"/>
          <w:b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（三）校舍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学院位于重庆市南岸区茶园新区，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</w:rPr>
        <w:t>占地面积353893.9平方米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（折合约530亩），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校舍总建筑面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</w:rPr>
        <w:t>积304024.25平方米，教学科研及辅助用房面积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  <w:t>135379.05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</w:rPr>
        <w:t>平方米，行政办公用房9921.24平方米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生活用房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82574.37平方米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，其中，学生公寓5栋，面积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66619.69平方米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，学生食堂面积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14537.68平方米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，可提供学生同时就餐为14000个。</w:t>
      </w:r>
    </w:p>
    <w:p>
      <w:pPr>
        <w:jc w:val="center"/>
        <w:rPr>
          <w:rFonts w:ascii="Times New Roman" w:hAnsi="Times New Roman" w:eastAsia="仿宋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bCs/>
          <w:sz w:val="24"/>
          <w:szCs w:val="24"/>
        </w:rPr>
        <w:t>表</w:t>
      </w:r>
      <w:r>
        <w:rPr>
          <w:rFonts w:hint="eastAsia" w:ascii="方正仿宋_GBK" w:hAnsi="方正仿宋_GBK" w:eastAsia="方正仿宋_GBK" w:cs="方正仿宋_GBK"/>
          <w:b/>
          <w:bCs/>
          <w:sz w:val="24"/>
          <w:szCs w:val="24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b/>
          <w:bCs/>
          <w:sz w:val="24"/>
          <w:szCs w:val="24"/>
        </w:rPr>
        <w:t xml:space="preserve"> 学院建筑面积一览表</w:t>
      </w:r>
    </w:p>
    <w:tbl>
      <w:tblPr>
        <w:tblStyle w:val="10"/>
        <w:tblW w:w="80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701"/>
        <w:gridCol w:w="1701"/>
        <w:gridCol w:w="1559"/>
        <w:gridCol w:w="1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仿宋" w:eastAsia="仿宋"/>
                <w:b/>
                <w:bCs/>
                <w:szCs w:val="21"/>
              </w:rPr>
              <w:t>明细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仿宋" w:eastAsia="仿宋"/>
                <w:b/>
                <w:bCs/>
                <w:szCs w:val="21"/>
              </w:rPr>
            </w:pPr>
            <w:r>
              <w:rPr>
                <w:rFonts w:ascii="Times New Roman" w:hAnsi="仿宋" w:eastAsia="仿宋"/>
                <w:b/>
                <w:bCs/>
                <w:szCs w:val="21"/>
              </w:rPr>
              <w:t>总建筑面积</w:t>
            </w:r>
            <w:r>
              <w:rPr>
                <w:rFonts w:hint="eastAsia" w:ascii="Times New Roman" w:hAnsi="仿宋" w:eastAsia="仿宋"/>
                <w:b/>
                <w:bCs/>
                <w:szCs w:val="21"/>
              </w:rPr>
              <w:t xml:space="preserve">  </w:t>
            </w:r>
          </w:p>
          <w:p>
            <w:pPr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仿宋" w:eastAsia="仿宋"/>
                <w:b/>
                <w:bCs/>
                <w:szCs w:val="21"/>
              </w:rPr>
              <w:t>（平方米）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仿宋" w:eastAsia="仿宋"/>
                <w:b/>
                <w:bCs/>
                <w:szCs w:val="21"/>
              </w:rPr>
              <w:t>教学、行政用房（平方米）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仿宋" w:eastAsia="仿宋"/>
                <w:b/>
                <w:bCs/>
                <w:szCs w:val="21"/>
              </w:rPr>
            </w:pPr>
            <w:r>
              <w:rPr>
                <w:rFonts w:ascii="Times New Roman" w:hAnsi="仿宋" w:eastAsia="仿宋"/>
                <w:b/>
                <w:bCs/>
                <w:szCs w:val="21"/>
              </w:rPr>
              <w:t>学生宿舍</w:t>
            </w:r>
          </w:p>
          <w:p>
            <w:pPr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仿宋" w:eastAsia="仿宋"/>
                <w:b/>
                <w:bCs/>
                <w:szCs w:val="21"/>
              </w:rPr>
              <w:t>（平方米）</w:t>
            </w:r>
          </w:p>
        </w:tc>
        <w:tc>
          <w:tcPr>
            <w:tcW w:w="182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仿宋" w:eastAsia="仿宋"/>
                <w:b/>
                <w:bCs/>
                <w:szCs w:val="21"/>
              </w:rPr>
              <w:t>实验室、实习场所（平方米）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仿宋" w:eastAsia="仿宋"/>
                <w:szCs w:val="21"/>
              </w:rPr>
              <w:t>总数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Cs w:val="21"/>
                <w:lang w:val="en-US" w:eastAsia="zh-CN"/>
              </w:rPr>
              <w:t>248,817.81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Cs w:val="21"/>
                <w:lang w:val="en-US" w:eastAsia="zh-CN"/>
              </w:rPr>
              <w:t>145,300.29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66619.69</w:t>
            </w:r>
          </w:p>
        </w:tc>
        <w:tc>
          <w:tcPr>
            <w:tcW w:w="182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57,372.85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仿宋" w:eastAsia="仿宋"/>
                <w:szCs w:val="21"/>
              </w:rPr>
              <w:t>生均数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Cs w:val="21"/>
                <w:lang w:val="en-US" w:eastAsia="zh-CN"/>
              </w:rPr>
              <w:t>29.90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Cs w:val="21"/>
                <w:lang w:val="en-US" w:eastAsia="zh-CN"/>
              </w:rPr>
              <w:t>17.47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Cs w:val="21"/>
                <w:lang w:val="en-US" w:eastAsia="zh-CN"/>
              </w:rPr>
              <w:t>8.01</w:t>
            </w:r>
          </w:p>
        </w:tc>
        <w:tc>
          <w:tcPr>
            <w:tcW w:w="182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7.90</w:t>
            </w:r>
          </w:p>
        </w:tc>
      </w:tr>
    </w:tbl>
    <w:p>
      <w:pPr>
        <w:pStyle w:val="2"/>
        <w:rPr>
          <w:rFonts w:hint="eastAsia"/>
        </w:rPr>
      </w:pP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3" w:firstLineChars="200"/>
        <w:jc w:val="both"/>
        <w:textAlignment w:val="auto"/>
        <w:outlineLvl w:val="0"/>
        <w:rPr>
          <w:rFonts w:hint="eastAsia" w:ascii="方正楷体_GBK" w:hAnsi="方正楷体_GBK" w:eastAsia="方正楷体_GBK" w:cs="方正楷体_GBK"/>
          <w:b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eastAsia" w:ascii="方正楷体_GBK" w:hAnsi="方正楷体_GBK" w:eastAsia="方正楷体_GBK" w:cs="方正楷体_GBK"/>
          <w:b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（四）</w:t>
      </w:r>
      <w:r>
        <w:rPr>
          <w:rFonts w:hint="eastAsia" w:ascii="方正楷体_GBK" w:hAnsi="方正楷体_GBK" w:eastAsia="方正楷体_GBK" w:cs="方正楷体_GBK"/>
          <w:b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信息化教学条件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学院建成了面积为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150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㎡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的数据中心机房，建成了功能完善的数据中心及配套设施。目前，学院校园网实现了“双核心、双链路、万兆主干、千兆至桌面”的网络架构，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</w:rPr>
        <w:t>网络总出口带宽达5100Mbps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。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</w:rPr>
        <w:t>有线网络信息点达26500个左右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现了全校楼宇的全覆盖。无线网络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AP349个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，基本实现校内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无线网络全覆盖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。学院建成多媒体教室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109间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，其中智慧一体化教室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7间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；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</w:rPr>
        <w:t>教学用计算机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  <w:t>1914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</w:rPr>
        <w:t>台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，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  <w:t>其中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</w:rPr>
        <w:t>专业机房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eastAsia="zh-CN"/>
        </w:rPr>
        <w:t>计算机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  <w:t>734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</w:rPr>
        <w:t>台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。具有覆盖数字图书馆、校园电视广播、校园信息发布、校园公共应用、校园医疗等功能的一卡通系统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校园网覆盖率100%。良好的机房环境为学院信息化条件提供了坚实的保障基础。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学院现有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数字资源总量13800（GB），网络课程153门，基本实现了信息化教学的全面覆盖。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0"/>
        <w:rPr>
          <w:rFonts w:hint="eastAsia" w:ascii="方正黑体_GBK" w:hAnsi="方正黑体_GBK" w:eastAsia="方正黑体_GBK" w:cs="方正黑体_GBK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二、“双师”队伍建设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3" w:firstLineChars="200"/>
        <w:jc w:val="both"/>
        <w:textAlignment w:val="auto"/>
        <w:outlineLvl w:val="0"/>
        <w:rPr>
          <w:rFonts w:hint="eastAsia" w:ascii="方正楷体_GBK" w:hAnsi="方正楷体_GBK" w:eastAsia="方正楷体_GBK" w:cs="方正楷体_GBK"/>
          <w:b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（一）教师结构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学院师资力量雄厚，现有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</w:rPr>
        <w:t>教职工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  <w:t>379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</w:rPr>
        <w:t>人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eastAsia="zh-CN"/>
        </w:rPr>
        <w:t>，教职员工额定编制409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  <w:t>人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</w:rPr>
        <w:t>专任教师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  <w:t>295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</w:rPr>
        <w:t>人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其中专业教师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258人；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以中青年教师为主，高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级职称教师121人，硕士及以上学位教师167人，兼职教师109人，校内兼课教师16人。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2019年获批教育部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首批国家级职业教育教师教学创新团队立项建设单位。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专业课教师大部分具有一级注册结构工程师、一级注册建造师、注册造价工程师、注册咨询工程师、注册监理工程师等执业资格证书和丰富的从业经历。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3" w:firstLineChars="200"/>
        <w:jc w:val="both"/>
        <w:textAlignment w:val="auto"/>
        <w:outlineLvl w:val="0"/>
        <w:rPr>
          <w:rFonts w:hint="eastAsia" w:ascii="方正楷体_GBK" w:hAnsi="方正楷体_GBK" w:eastAsia="方正楷体_GBK" w:cs="方正楷体_GBK"/>
          <w:b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（二）“双师型”教师配备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依托学院教师发展中心，通过企业挂职、专业培训、教学竞赛等多种形式提升教师教育教学能力和实践操作技能。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</w:rPr>
        <w:t>一是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实施“双师”队伍建设驱动计划。</w:t>
      </w:r>
      <w:r>
        <w:rPr>
          <w:rFonts w:hint="eastAsia" w:ascii="方正仿宋_GBK" w:hAnsi="方正仿宋_GBK" w:eastAsia="方正仿宋_GBK" w:cs="方正仿宋_GBK"/>
          <w:color w:val="0D0D0D"/>
          <w:kern w:val="0"/>
          <w:sz w:val="32"/>
          <w:szCs w:val="32"/>
        </w:rPr>
        <w:t>为进一步加强双师型教师队伍建设，研究出台了《“双师型”教师认定与管理办法（试行）》，认定</w:t>
      </w:r>
      <w:r>
        <w:rPr>
          <w:rFonts w:hint="eastAsia" w:ascii="方正仿宋_GBK" w:hAnsi="方正仿宋_GBK" w:eastAsia="方正仿宋_GBK" w:cs="方正仿宋_GBK"/>
          <w:b w:val="0"/>
          <w:bCs w:val="0"/>
          <w:color w:val="0D0D0D"/>
          <w:kern w:val="0"/>
          <w:sz w:val="32"/>
          <w:szCs w:val="32"/>
          <w:highlight w:val="none"/>
          <w:lang w:val="en-US" w:eastAsia="zh-CN"/>
        </w:rPr>
        <w:t>222</w:t>
      </w:r>
      <w:r>
        <w:rPr>
          <w:rFonts w:hint="eastAsia" w:ascii="方正仿宋_GBK" w:hAnsi="方正仿宋_GBK" w:eastAsia="方正仿宋_GBK" w:cs="方正仿宋_GBK"/>
          <w:b w:val="0"/>
          <w:bCs w:val="0"/>
          <w:color w:val="0D0D0D"/>
          <w:kern w:val="0"/>
          <w:sz w:val="32"/>
          <w:szCs w:val="32"/>
          <w:highlight w:val="none"/>
        </w:rPr>
        <w:t>名双师型教师</w:t>
      </w:r>
      <w:r>
        <w:rPr>
          <w:rFonts w:hint="eastAsia" w:ascii="方正仿宋_GBK" w:hAnsi="方正仿宋_GBK" w:eastAsia="方正仿宋_GBK" w:cs="方正仿宋_GBK"/>
          <w:color w:val="0D0D0D"/>
          <w:kern w:val="0"/>
          <w:sz w:val="32"/>
          <w:szCs w:val="32"/>
        </w:rPr>
        <w:t>。</w:t>
      </w:r>
      <w:r>
        <w:rPr>
          <w:rFonts w:hint="eastAsia" w:ascii="方正仿宋_GBK" w:hAnsi="方正仿宋_GBK" w:eastAsia="方正仿宋_GBK" w:cs="方正仿宋_GBK"/>
          <w:b/>
          <w:color w:val="0D0D0D"/>
          <w:kern w:val="0"/>
          <w:sz w:val="32"/>
          <w:szCs w:val="32"/>
        </w:rPr>
        <w:t>二</w:t>
      </w:r>
      <w:r>
        <w:rPr>
          <w:rFonts w:hint="eastAsia" w:ascii="方正仿宋_GBK" w:hAnsi="方正仿宋_GBK" w:eastAsia="方正仿宋_GBK" w:cs="方正仿宋_GBK"/>
          <w:b w:val="0"/>
          <w:bCs/>
          <w:color w:val="0D0D0D"/>
          <w:kern w:val="0"/>
          <w:sz w:val="32"/>
          <w:szCs w:val="32"/>
        </w:rPr>
        <w:t>是</w:t>
      </w:r>
      <w:r>
        <w:rPr>
          <w:rFonts w:hint="eastAsia" w:ascii="方正仿宋_GBK" w:hAnsi="方正仿宋_GBK" w:eastAsia="方正仿宋_GBK" w:cs="方正仿宋_GBK"/>
          <w:color w:val="0D0D0D"/>
          <w:kern w:val="0"/>
          <w:sz w:val="32"/>
          <w:szCs w:val="32"/>
        </w:rPr>
        <w:t>积极组织开展“双千双师”交流工作，入选“双千双师”交流计划</w:t>
      </w:r>
      <w:r>
        <w:rPr>
          <w:rFonts w:hint="eastAsia" w:ascii="方正仿宋_GBK" w:hAnsi="方正仿宋_GBK" w:eastAsia="方正仿宋_GBK" w:cs="方正仿宋_GBK"/>
          <w:color w:val="0D0D0D"/>
          <w:kern w:val="0"/>
          <w:sz w:val="32"/>
          <w:szCs w:val="32"/>
          <w:lang w:eastAsia="zh-CN"/>
        </w:rPr>
        <w:t>教师</w:t>
      </w:r>
      <w:r>
        <w:rPr>
          <w:rFonts w:hint="eastAsia" w:ascii="方正仿宋_GBK" w:hAnsi="方正仿宋_GBK" w:eastAsia="方正仿宋_GBK" w:cs="方正仿宋_GBK"/>
          <w:color w:val="0D0D0D"/>
          <w:kern w:val="0"/>
          <w:sz w:val="32"/>
          <w:szCs w:val="32"/>
        </w:rPr>
        <w:t>共计</w:t>
      </w:r>
      <w:r>
        <w:rPr>
          <w:rFonts w:hint="eastAsia" w:ascii="方正仿宋_GBK" w:hAnsi="方正仿宋_GBK" w:eastAsia="方正仿宋_GBK" w:cs="方正仿宋_GBK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13</w:t>
      </w:r>
      <w:r>
        <w:rPr>
          <w:rFonts w:hint="eastAsia" w:ascii="方正仿宋_GBK" w:hAnsi="方正仿宋_GBK" w:eastAsia="方正仿宋_GBK" w:cs="方正仿宋_GBK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人</w:t>
      </w:r>
      <w:r>
        <w:rPr>
          <w:rFonts w:hint="eastAsia" w:ascii="方正仿宋_GBK" w:hAnsi="方正仿宋_GBK" w:eastAsia="方正仿宋_GBK" w:cs="方正仿宋_GBK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方正仿宋_GBK" w:hAnsi="方正仿宋_GBK" w:eastAsia="方正仿宋_GBK" w:cs="方正仿宋_GBK"/>
          <w:color w:val="0D0D0D"/>
          <w:kern w:val="0"/>
          <w:sz w:val="32"/>
          <w:szCs w:val="32"/>
        </w:rPr>
        <w:t>企业到学校交流人员6人</w:t>
      </w:r>
      <w:r>
        <w:rPr>
          <w:rFonts w:hint="eastAsia" w:ascii="方正仿宋_GBK" w:hAnsi="方正仿宋_GBK" w:eastAsia="方正仿宋_GBK" w:cs="方正仿宋_GBK"/>
          <w:color w:val="0D0D0D"/>
          <w:kern w:val="0"/>
          <w:sz w:val="32"/>
          <w:szCs w:val="32"/>
          <w:lang w:eastAsia="zh-CN"/>
        </w:rPr>
        <w:t>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学院现有具有双师素质教师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222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人，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专任教师双师比例达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75.25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%</w:t>
      </w:r>
      <w:bookmarkStart w:id="5" w:name="_GoBack"/>
      <w:bookmarkEnd w:id="5"/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0"/>
        <w:rPr>
          <w:rFonts w:hint="eastAsia" w:ascii="方正黑体_GBK" w:hAnsi="方正黑体_GBK" w:eastAsia="方正黑体_GBK" w:cs="方正黑体_GBK"/>
          <w:i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eastAsia" w:ascii="方正黑体_GBK" w:hAnsi="方正黑体_GBK" w:eastAsia="方正黑体_GBK" w:cs="方正黑体_GBK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三、</w:t>
      </w:r>
      <w:r>
        <w:rPr>
          <w:rFonts w:hint="eastAsia" w:ascii="方正黑体_GBK" w:hAnsi="方正黑体_GBK" w:eastAsia="方正黑体_GBK" w:cs="方正黑体_GBK"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专业人才培养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outlineLvl w:val="0"/>
        <w:rPr>
          <w:rFonts w:hint="eastAsia" w:ascii="方正楷体_GBK" w:hAnsi="方正楷体_GBK" w:eastAsia="方正楷体_GBK" w:cs="方正楷体_GBK"/>
          <w:b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eastAsia" w:ascii="方正楷体_GBK" w:hAnsi="方正楷体_GBK" w:eastAsia="方正楷体_GBK" w:cs="方正楷体_GBK"/>
          <w:b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（一）</w:t>
      </w:r>
      <w:r>
        <w:rPr>
          <w:rFonts w:hint="eastAsia" w:ascii="方正楷体_GBK" w:hAnsi="方正楷体_GBK" w:eastAsia="方正楷体_GBK" w:cs="方正楷体_GBK"/>
          <w:b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人才培养模式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近年来，学校深度推进产教融合，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继续携手建设类骨干企业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。牵头成立重庆市智能建造职业教育集团，与中交集团、重庆建工集团、重庆市轨道交通（集团）、重庆市建筑科学研究院、金科地产集团、重庆中科建设集团、重庆新龙湖物业、重庆广建装饰股份公司、维特根（中国）机械有限公司等国内外知名企业进行深度合作，开展订单、定向等方式培养人才，形成鲜明的行业品牌特色。学院现有校企合作企业119家，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深度合作企业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90余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。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例如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与中交二航局第二工程有限公司、中科建设集团、京东集团等企业签订了“订单班”、“冠名班”等定向培养协议及校外实习基地协议，共同开展人才培养工作，让学生入学即就业，近三年，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毕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业生初次就业率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稳步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90%以上。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多年来，学校毕业生得到用人单位的好评，就业率稳定保持在96%以上，优质就业率稳步提升。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outlineLvl w:val="0"/>
        <w:rPr>
          <w:rFonts w:hint="eastAsia" w:ascii="方正楷体_GBK" w:hAnsi="方正楷体_GBK" w:eastAsia="方正楷体_GBK" w:cs="方正楷体_GBK"/>
          <w:b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（二）专业建设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0"/>
        <w:rPr>
          <w:rFonts w:hint="eastAsia" w:ascii="方正仿宋_GBK" w:hAnsi="方正仿宋_GBK" w:eastAsia="方正仿宋_GBK" w:cs="方正仿宋_GBK"/>
          <w:b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学院加强品牌专业建设，建成了全国试点、中央支持、地方重点、学校特色的层次鲜明、重点突出的专业建设梯队。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全国职业院校示范专业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1个，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中央重点支持专业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2个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、教育部创新行动计划认定骨干专业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1个，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重庆市高等职业院校专业能力建设项目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</w:rPr>
        <w:t>7个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，重庆市高等职业教育双基地建设项目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</w:rPr>
        <w:t>3个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，院级特色专业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</w:rPr>
        <w:t>9个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。基本构建了国家级-市级-院级优势专业体系。</w:t>
      </w:r>
    </w:p>
    <w:p>
      <w:pPr>
        <w:jc w:val="center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sz w:val="28"/>
          <w:szCs w:val="28"/>
        </w:rPr>
        <w:t>表</w:t>
      </w:r>
      <w:r>
        <w:rPr>
          <w:rFonts w:hint="eastAsia" w:ascii="方正仿宋_GBK" w:hAnsi="方正仿宋_GBK" w:eastAsia="方正仿宋_GBK" w:cs="方正仿宋_GBK"/>
          <w:b/>
          <w:sz w:val="28"/>
          <w:szCs w:val="28"/>
          <w:lang w:val="en-US" w:eastAsia="zh-CN"/>
        </w:rPr>
        <w:t xml:space="preserve">3 </w:t>
      </w:r>
      <w:r>
        <w:rPr>
          <w:rFonts w:hint="eastAsia" w:ascii="方正仿宋_GBK" w:hAnsi="方正仿宋_GBK" w:eastAsia="方正仿宋_GBK" w:cs="方正仿宋_GBK"/>
          <w:b/>
          <w:sz w:val="28"/>
          <w:szCs w:val="28"/>
        </w:rPr>
        <w:t xml:space="preserve">专业建设成果一览表 </w:t>
      </w:r>
    </w:p>
    <w:tbl>
      <w:tblPr>
        <w:tblStyle w:val="10"/>
        <w:tblW w:w="8979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57"/>
        <w:gridCol w:w="5822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15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</w:rPr>
              <w:t>专业名称</w:t>
            </w:r>
          </w:p>
        </w:tc>
        <w:tc>
          <w:tcPr>
            <w:tcW w:w="582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8"/>
                <w:szCs w:val="28"/>
              </w:rPr>
              <w:t>专业建设成果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15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Cs w:val="21"/>
              </w:rPr>
            </w:pPr>
            <w:r>
              <w:rPr>
                <w:rFonts w:ascii="Times New Roman" w:hAnsi="仿宋" w:eastAsia="仿宋"/>
                <w:kern w:val="0"/>
                <w:szCs w:val="21"/>
              </w:rPr>
              <w:t>道路桥梁工程技术</w:t>
            </w:r>
          </w:p>
        </w:tc>
        <w:tc>
          <w:tcPr>
            <w:tcW w:w="582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Cs w:val="21"/>
              </w:rPr>
            </w:pPr>
            <w:r>
              <w:rPr>
                <w:rFonts w:ascii="Times New Roman" w:hAnsi="仿宋" w:eastAsia="仿宋"/>
                <w:kern w:val="0"/>
                <w:szCs w:val="21"/>
              </w:rPr>
              <w:t>全国职业院校交通运输类示范专业</w:t>
            </w:r>
          </w:p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Cs w:val="21"/>
              </w:rPr>
            </w:pPr>
            <w:r>
              <w:rPr>
                <w:rFonts w:ascii="Times New Roman" w:hAnsi="仿宋" w:eastAsia="仿宋"/>
                <w:kern w:val="0"/>
                <w:szCs w:val="21"/>
              </w:rPr>
              <w:t>中央财政支持重点建设专业、院级特色专业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15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Cs w:val="21"/>
              </w:rPr>
            </w:pPr>
            <w:r>
              <w:rPr>
                <w:rFonts w:ascii="Times New Roman" w:hAnsi="仿宋" w:eastAsia="仿宋"/>
                <w:kern w:val="0"/>
                <w:szCs w:val="21"/>
              </w:rPr>
              <w:t>建筑工程技术</w:t>
            </w:r>
          </w:p>
        </w:tc>
        <w:tc>
          <w:tcPr>
            <w:tcW w:w="582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Cs w:val="21"/>
              </w:rPr>
            </w:pPr>
            <w:r>
              <w:rPr>
                <w:rFonts w:ascii="Times New Roman" w:hAnsi="仿宋" w:eastAsia="仿宋"/>
                <w:kern w:val="0"/>
                <w:szCs w:val="21"/>
              </w:rPr>
              <w:t>中央财政支持重点建设专业、院级特色专业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15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Cs w:val="21"/>
              </w:rPr>
            </w:pPr>
            <w:r>
              <w:rPr>
                <w:rFonts w:ascii="Times New Roman" w:hAnsi="仿宋" w:eastAsia="仿宋"/>
                <w:kern w:val="0"/>
                <w:szCs w:val="21"/>
              </w:rPr>
              <w:t>工程造价</w:t>
            </w:r>
          </w:p>
        </w:tc>
        <w:tc>
          <w:tcPr>
            <w:tcW w:w="582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Cs w:val="21"/>
              </w:rPr>
            </w:pPr>
            <w:r>
              <w:rPr>
                <w:rFonts w:ascii="Times New Roman" w:hAnsi="仿宋" w:eastAsia="仿宋"/>
                <w:kern w:val="0"/>
                <w:szCs w:val="21"/>
              </w:rPr>
              <w:t>重庆市高等职业院校专业能力建设（骨干专业）项目</w:t>
            </w:r>
          </w:p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Cs w:val="21"/>
              </w:rPr>
            </w:pPr>
            <w:r>
              <w:rPr>
                <w:rFonts w:ascii="Times New Roman" w:hAnsi="仿宋" w:eastAsia="仿宋"/>
                <w:kern w:val="0"/>
                <w:szCs w:val="21"/>
              </w:rPr>
              <w:t>院级特色专业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15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Cs w:val="21"/>
              </w:rPr>
            </w:pPr>
            <w:r>
              <w:rPr>
                <w:rFonts w:ascii="Times New Roman" w:hAnsi="仿宋" w:eastAsia="仿宋"/>
                <w:kern w:val="0"/>
                <w:szCs w:val="21"/>
              </w:rPr>
              <w:t>市政工程技术</w:t>
            </w:r>
          </w:p>
        </w:tc>
        <w:tc>
          <w:tcPr>
            <w:tcW w:w="582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Cs w:val="21"/>
              </w:rPr>
            </w:pPr>
            <w:r>
              <w:rPr>
                <w:rFonts w:ascii="Times New Roman" w:hAnsi="仿宋" w:eastAsia="仿宋"/>
                <w:kern w:val="0"/>
                <w:szCs w:val="21"/>
              </w:rPr>
              <w:t>重庆市高等职业院校专业能力建设（骨干专业）项目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15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Cs w:val="21"/>
              </w:rPr>
            </w:pPr>
            <w:r>
              <w:rPr>
                <w:rFonts w:ascii="Times New Roman" w:hAnsi="仿宋" w:eastAsia="仿宋"/>
                <w:kern w:val="0"/>
                <w:szCs w:val="21"/>
              </w:rPr>
              <w:t>建设工程管理</w:t>
            </w:r>
          </w:p>
        </w:tc>
        <w:tc>
          <w:tcPr>
            <w:tcW w:w="582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Cs w:val="21"/>
              </w:rPr>
            </w:pPr>
            <w:r>
              <w:rPr>
                <w:rFonts w:hint="eastAsia" w:ascii="Times New Roman" w:hAnsi="仿宋" w:eastAsia="仿宋"/>
                <w:kern w:val="0"/>
                <w:szCs w:val="21"/>
                <w:lang w:eastAsia="zh-CN"/>
              </w:rPr>
              <w:t>教育部创新行动计划骨干专业、</w:t>
            </w:r>
            <w:r>
              <w:rPr>
                <w:rFonts w:ascii="Times New Roman" w:hAnsi="仿宋" w:eastAsia="仿宋"/>
                <w:kern w:val="0"/>
                <w:szCs w:val="21"/>
              </w:rPr>
              <w:t>重庆市高等职业院校专业能力建设（骨干专业）项目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15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Cs w:val="21"/>
              </w:rPr>
            </w:pPr>
            <w:r>
              <w:rPr>
                <w:rFonts w:ascii="Times New Roman" w:hAnsi="仿宋" w:eastAsia="仿宋"/>
                <w:kern w:val="0"/>
                <w:szCs w:val="21"/>
              </w:rPr>
              <w:t>房地产经营与管理</w:t>
            </w:r>
          </w:p>
        </w:tc>
        <w:tc>
          <w:tcPr>
            <w:tcW w:w="582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Cs w:val="21"/>
              </w:rPr>
            </w:pPr>
            <w:r>
              <w:rPr>
                <w:rFonts w:ascii="Times New Roman" w:hAnsi="仿宋" w:eastAsia="仿宋"/>
                <w:kern w:val="0"/>
                <w:szCs w:val="21"/>
              </w:rPr>
              <w:t>重庆市高等职业院校专业能力建设（骨干专业）项目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15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Cs w:val="21"/>
              </w:rPr>
            </w:pPr>
            <w:r>
              <w:rPr>
                <w:rFonts w:ascii="Times New Roman" w:hAnsi="仿宋" w:eastAsia="仿宋"/>
                <w:kern w:val="0"/>
                <w:szCs w:val="21"/>
              </w:rPr>
              <w:t>工程测量技术</w:t>
            </w:r>
          </w:p>
        </w:tc>
        <w:tc>
          <w:tcPr>
            <w:tcW w:w="582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Cs w:val="21"/>
              </w:rPr>
            </w:pPr>
            <w:r>
              <w:rPr>
                <w:rFonts w:ascii="Times New Roman" w:hAnsi="仿宋" w:eastAsia="仿宋"/>
                <w:kern w:val="0"/>
                <w:szCs w:val="21"/>
              </w:rPr>
              <w:t>重庆市高等职业院校专业能力建设（骨干专业）项目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15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Cs w:val="21"/>
              </w:rPr>
            </w:pPr>
            <w:r>
              <w:rPr>
                <w:rFonts w:ascii="Times New Roman" w:hAnsi="仿宋" w:eastAsia="仿宋"/>
                <w:kern w:val="0"/>
                <w:szCs w:val="21"/>
              </w:rPr>
              <w:t>土木工程检测技术</w:t>
            </w:r>
          </w:p>
        </w:tc>
        <w:tc>
          <w:tcPr>
            <w:tcW w:w="582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Cs w:val="21"/>
              </w:rPr>
            </w:pPr>
            <w:r>
              <w:rPr>
                <w:rFonts w:ascii="Times New Roman" w:hAnsi="仿宋" w:eastAsia="仿宋"/>
                <w:kern w:val="0"/>
                <w:szCs w:val="21"/>
              </w:rPr>
              <w:t>重庆市高等职业院校专业能力建设（骨干专业）项目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15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Cs w:val="21"/>
              </w:rPr>
            </w:pPr>
            <w:r>
              <w:rPr>
                <w:rFonts w:ascii="Times New Roman" w:hAnsi="仿宋" w:eastAsia="仿宋"/>
                <w:kern w:val="0"/>
                <w:szCs w:val="21"/>
              </w:rPr>
              <w:t>城市轨道交通运营管理</w:t>
            </w:r>
          </w:p>
        </w:tc>
        <w:tc>
          <w:tcPr>
            <w:tcW w:w="582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Cs w:val="21"/>
              </w:rPr>
            </w:pPr>
            <w:r>
              <w:rPr>
                <w:rFonts w:ascii="Times New Roman" w:hAnsi="仿宋" w:eastAsia="仿宋"/>
                <w:kern w:val="0"/>
                <w:szCs w:val="21"/>
              </w:rPr>
              <w:t>重庆市高等职业院校专业能力建设（骨干专业）项目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15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Cs w:val="21"/>
              </w:rPr>
            </w:pPr>
            <w:r>
              <w:rPr>
                <w:rFonts w:ascii="Times New Roman" w:hAnsi="仿宋" w:eastAsia="仿宋"/>
                <w:kern w:val="0"/>
                <w:szCs w:val="21"/>
              </w:rPr>
              <w:t>建筑装饰工程技术</w:t>
            </w:r>
          </w:p>
        </w:tc>
        <w:tc>
          <w:tcPr>
            <w:tcW w:w="582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Cs w:val="21"/>
              </w:rPr>
            </w:pPr>
            <w:r>
              <w:rPr>
                <w:rFonts w:ascii="Times New Roman" w:hAnsi="仿宋" w:eastAsia="仿宋"/>
                <w:kern w:val="0"/>
                <w:szCs w:val="21"/>
              </w:rPr>
              <w:t>院级特色专业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15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Cs w:val="21"/>
              </w:rPr>
            </w:pPr>
            <w:r>
              <w:rPr>
                <w:rFonts w:ascii="Times New Roman" w:hAnsi="仿宋" w:eastAsia="仿宋"/>
                <w:kern w:val="0"/>
                <w:szCs w:val="21"/>
              </w:rPr>
              <w:t>城市轨道交通车辆</w:t>
            </w:r>
          </w:p>
        </w:tc>
        <w:tc>
          <w:tcPr>
            <w:tcW w:w="582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Cs w:val="21"/>
              </w:rPr>
            </w:pPr>
            <w:r>
              <w:rPr>
                <w:rFonts w:ascii="Times New Roman" w:hAnsi="仿宋" w:eastAsia="仿宋"/>
                <w:kern w:val="0"/>
                <w:szCs w:val="21"/>
              </w:rPr>
              <w:t>院级特色专业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15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Cs w:val="21"/>
              </w:rPr>
            </w:pPr>
            <w:r>
              <w:rPr>
                <w:rFonts w:ascii="Times New Roman" w:hAnsi="仿宋" w:eastAsia="仿宋"/>
                <w:kern w:val="0"/>
                <w:szCs w:val="21"/>
              </w:rPr>
              <w:t>城市轨道交通工程技术</w:t>
            </w:r>
          </w:p>
        </w:tc>
        <w:tc>
          <w:tcPr>
            <w:tcW w:w="582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Cs w:val="21"/>
              </w:rPr>
            </w:pPr>
            <w:r>
              <w:rPr>
                <w:rFonts w:ascii="Times New Roman" w:hAnsi="仿宋" w:eastAsia="仿宋"/>
                <w:kern w:val="0"/>
                <w:szCs w:val="21"/>
              </w:rPr>
              <w:t>院级特色专业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15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Cs w:val="21"/>
              </w:rPr>
            </w:pPr>
            <w:r>
              <w:rPr>
                <w:rFonts w:ascii="Times New Roman" w:hAnsi="仿宋" w:eastAsia="仿宋"/>
                <w:kern w:val="0"/>
                <w:szCs w:val="21"/>
              </w:rPr>
              <w:t>园林工程技术</w:t>
            </w:r>
          </w:p>
        </w:tc>
        <w:tc>
          <w:tcPr>
            <w:tcW w:w="582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Cs w:val="21"/>
              </w:rPr>
            </w:pPr>
            <w:r>
              <w:rPr>
                <w:rFonts w:ascii="Times New Roman" w:hAnsi="仿宋" w:eastAsia="仿宋"/>
                <w:kern w:val="0"/>
                <w:szCs w:val="21"/>
              </w:rPr>
              <w:t>院级特色专业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15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Cs w:val="21"/>
              </w:rPr>
            </w:pPr>
            <w:r>
              <w:rPr>
                <w:rFonts w:ascii="Times New Roman" w:hAnsi="仿宋" w:eastAsia="仿宋"/>
                <w:kern w:val="0"/>
                <w:szCs w:val="21"/>
              </w:rPr>
              <w:t>建设工程监理</w:t>
            </w:r>
          </w:p>
        </w:tc>
        <w:tc>
          <w:tcPr>
            <w:tcW w:w="582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Cs w:val="21"/>
              </w:rPr>
            </w:pPr>
            <w:r>
              <w:rPr>
                <w:rFonts w:ascii="Times New Roman" w:hAnsi="仿宋" w:eastAsia="仿宋"/>
                <w:kern w:val="0"/>
                <w:szCs w:val="21"/>
              </w:rPr>
              <w:t>院级特色专业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15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Cs w:val="21"/>
              </w:rPr>
            </w:pPr>
            <w:r>
              <w:rPr>
                <w:rFonts w:ascii="Times New Roman" w:hAnsi="仿宋" w:eastAsia="仿宋"/>
                <w:kern w:val="0"/>
                <w:szCs w:val="21"/>
              </w:rPr>
              <w:t>建筑电气工程技术</w:t>
            </w:r>
          </w:p>
        </w:tc>
        <w:tc>
          <w:tcPr>
            <w:tcW w:w="582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Cs w:val="21"/>
              </w:rPr>
            </w:pPr>
            <w:r>
              <w:rPr>
                <w:rFonts w:ascii="Times New Roman" w:hAnsi="仿宋" w:eastAsia="仿宋"/>
                <w:kern w:val="0"/>
                <w:szCs w:val="21"/>
              </w:rPr>
              <w:t>院级特色专业</w:t>
            </w:r>
          </w:p>
        </w:tc>
      </w:tr>
    </w:tbl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outlineLvl w:val="0"/>
        <w:rPr>
          <w:rFonts w:hint="eastAsia" w:ascii="方正楷体_GBK" w:hAnsi="方正楷体_GBK" w:eastAsia="方正楷体_GBK" w:cs="方正楷体_GBK"/>
          <w:b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（三）课程体系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课程作为高质量人才培养方案实施的载体，是专业建设的基础。本学年学院共开设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课程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706门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，其中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理论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课程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A类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课程）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56门，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  <w:t>理实一体化课程（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B类课程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365门，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  <w:t>实践课程（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C类课程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82门。A类、B类、C类课程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的课时数占总课时数的比例分别为11.1%、72.6%、16.3%。</w:t>
      </w:r>
    </w:p>
    <w:p>
      <w:pPr>
        <w:spacing w:line="560" w:lineRule="exact"/>
        <w:ind w:firstLine="482" w:firstLineChars="200"/>
        <w:jc w:val="center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表4 课程设置情况一览表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1"/>
        <w:gridCol w:w="1605"/>
        <w:gridCol w:w="1500"/>
        <w:gridCol w:w="26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exact"/>
          <w:jc w:val="center"/>
        </w:trPr>
        <w:tc>
          <w:tcPr>
            <w:tcW w:w="2071" w:type="dxa"/>
            <w:shd w:val="clear" w:color="auto" w:fill="8DB3E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课程类型</w:t>
            </w:r>
          </w:p>
        </w:tc>
        <w:tc>
          <w:tcPr>
            <w:tcW w:w="1605" w:type="dxa"/>
            <w:shd w:val="clear" w:color="auto" w:fill="8DB3E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门数</w:t>
            </w:r>
          </w:p>
        </w:tc>
        <w:tc>
          <w:tcPr>
            <w:tcW w:w="1500" w:type="dxa"/>
            <w:shd w:val="clear" w:color="auto" w:fill="8DB3E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学时</w:t>
            </w:r>
          </w:p>
        </w:tc>
        <w:tc>
          <w:tcPr>
            <w:tcW w:w="2639" w:type="dxa"/>
            <w:shd w:val="clear" w:color="auto" w:fill="8DB3E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占总学时的比例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exact"/>
          <w:jc w:val="center"/>
        </w:trPr>
        <w:tc>
          <w:tcPr>
            <w:tcW w:w="207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理论课（</w:t>
            </w:r>
            <w:r>
              <w:rPr>
                <w:rFonts w:ascii="仿宋" w:hAnsi="仿宋" w:eastAsia="仿宋" w:cs="仿宋"/>
                <w:szCs w:val="21"/>
              </w:rPr>
              <w:t>A</w:t>
            </w:r>
            <w:r>
              <w:rPr>
                <w:rFonts w:hint="eastAsia" w:ascii="仿宋" w:hAnsi="仿宋" w:eastAsia="仿宋" w:cs="仿宋"/>
                <w:szCs w:val="21"/>
              </w:rPr>
              <w:t>类）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Cs w:val="21"/>
                <w:highlight w:val="none"/>
                <w:lang w:val="en-US" w:eastAsia="zh-CN"/>
              </w:rPr>
              <w:t>64</w:t>
            </w: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门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highlight w:val="none"/>
                <w:lang w:val="en-US" w:eastAsia="zh-CN"/>
              </w:rPr>
              <w:t>21754</w:t>
            </w:r>
          </w:p>
        </w:tc>
        <w:tc>
          <w:tcPr>
            <w:tcW w:w="2639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2</w:t>
            </w:r>
            <w:r>
              <w:rPr>
                <w:rFonts w:hint="eastAsia" w:ascii="仿宋" w:hAnsi="仿宋" w:eastAsia="仿宋" w:cs="仿宋"/>
                <w:szCs w:val="21"/>
                <w:highlight w:val="none"/>
                <w:lang w:val="en-US" w:eastAsia="zh-CN"/>
              </w:rPr>
              <w:t>2.5</w:t>
            </w:r>
            <w:r>
              <w:rPr>
                <w:rFonts w:ascii="仿宋" w:hAnsi="仿宋" w:eastAsia="仿宋" w:cs="仿宋"/>
                <w:szCs w:val="21"/>
                <w:highlight w:val="none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  <w:jc w:val="center"/>
        </w:trPr>
        <w:tc>
          <w:tcPr>
            <w:tcW w:w="207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理论</w:t>
            </w:r>
            <w:r>
              <w:rPr>
                <w:rFonts w:ascii="仿宋" w:hAnsi="仿宋" w:eastAsia="仿宋" w:cs="仿宋"/>
                <w:szCs w:val="21"/>
              </w:rPr>
              <w:t>+</w:t>
            </w:r>
            <w:r>
              <w:rPr>
                <w:rFonts w:hint="eastAsia" w:ascii="仿宋" w:hAnsi="仿宋" w:eastAsia="仿宋" w:cs="仿宋"/>
                <w:szCs w:val="21"/>
              </w:rPr>
              <w:t>实践课（</w:t>
            </w:r>
            <w:r>
              <w:rPr>
                <w:rFonts w:ascii="仿宋" w:hAnsi="仿宋" w:eastAsia="仿宋" w:cs="仿宋"/>
                <w:szCs w:val="21"/>
              </w:rPr>
              <w:t>B</w:t>
            </w:r>
            <w:r>
              <w:rPr>
                <w:rFonts w:hint="eastAsia" w:ascii="仿宋" w:hAnsi="仿宋" w:eastAsia="仿宋" w:cs="仿宋"/>
                <w:szCs w:val="21"/>
              </w:rPr>
              <w:t>类）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Cs w:val="21"/>
                <w:highlight w:val="none"/>
                <w:lang w:val="en-US" w:eastAsia="zh-CN"/>
              </w:rPr>
              <w:t>471</w:t>
            </w: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门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highlight w:val="none"/>
                <w:lang w:val="en-US" w:eastAsia="zh-CN"/>
              </w:rPr>
              <w:t>44958</w:t>
            </w:r>
          </w:p>
        </w:tc>
        <w:tc>
          <w:tcPr>
            <w:tcW w:w="2639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Cs w:val="21"/>
                <w:highlight w:val="none"/>
                <w:lang w:val="en-US" w:eastAsia="zh-CN"/>
              </w:rPr>
              <w:t>46.5</w:t>
            </w:r>
            <w:r>
              <w:rPr>
                <w:rFonts w:ascii="仿宋" w:hAnsi="仿宋" w:eastAsia="仿宋" w:cs="仿宋"/>
                <w:szCs w:val="21"/>
                <w:highlight w:val="none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exact"/>
          <w:jc w:val="center"/>
        </w:trPr>
        <w:tc>
          <w:tcPr>
            <w:tcW w:w="207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实践课（</w:t>
            </w:r>
            <w:r>
              <w:rPr>
                <w:rFonts w:ascii="仿宋" w:hAnsi="仿宋" w:eastAsia="仿宋" w:cs="仿宋"/>
                <w:szCs w:val="21"/>
              </w:rPr>
              <w:t>C</w:t>
            </w:r>
            <w:r>
              <w:rPr>
                <w:rFonts w:hint="eastAsia" w:ascii="仿宋" w:hAnsi="仿宋" w:eastAsia="仿宋" w:cs="仿宋"/>
                <w:szCs w:val="21"/>
              </w:rPr>
              <w:t>类）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Cs w:val="21"/>
                <w:highlight w:val="none"/>
                <w:lang w:val="en-US" w:eastAsia="zh-CN"/>
              </w:rPr>
              <w:t>171</w:t>
            </w: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门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highlight w:val="none"/>
                <w:lang w:val="en-US" w:eastAsia="zh-CN"/>
              </w:rPr>
              <w:t>29865</w:t>
            </w:r>
          </w:p>
        </w:tc>
        <w:tc>
          <w:tcPr>
            <w:tcW w:w="2639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Cs w:val="21"/>
                <w:highlight w:val="none"/>
                <w:lang w:val="en-US" w:eastAsia="zh-CN"/>
              </w:rPr>
              <w:t>30.9</w:t>
            </w:r>
            <w:r>
              <w:rPr>
                <w:rFonts w:ascii="仿宋" w:hAnsi="仿宋" w:eastAsia="仿宋" w:cs="仿宋"/>
                <w:szCs w:val="21"/>
                <w:highlight w:val="none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exact"/>
          <w:jc w:val="center"/>
        </w:trPr>
        <w:tc>
          <w:tcPr>
            <w:tcW w:w="2071" w:type="dxa"/>
            <w:shd w:val="clear" w:color="auto" w:fill="8DB3E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合计</w:t>
            </w:r>
          </w:p>
        </w:tc>
        <w:tc>
          <w:tcPr>
            <w:tcW w:w="1605" w:type="dxa"/>
            <w:shd w:val="clear" w:color="auto" w:fill="8DB3E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Cs w:val="21"/>
                <w:highlight w:val="none"/>
                <w:lang w:val="en-US" w:eastAsia="zh-CN"/>
              </w:rPr>
              <w:t>706</w:t>
            </w: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门</w:t>
            </w:r>
          </w:p>
        </w:tc>
        <w:tc>
          <w:tcPr>
            <w:tcW w:w="1500" w:type="dxa"/>
            <w:shd w:val="clear" w:color="auto" w:fill="8DB3E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highlight w:val="none"/>
                <w:lang w:val="en-US" w:eastAsia="zh-CN"/>
              </w:rPr>
              <w:t>96577</w:t>
            </w:r>
          </w:p>
        </w:tc>
        <w:tc>
          <w:tcPr>
            <w:tcW w:w="2639" w:type="dxa"/>
            <w:shd w:val="clear" w:color="auto" w:fill="8DB3E2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  <w:highlight w:val="none"/>
              </w:rPr>
            </w:pPr>
            <w:r>
              <w:rPr>
                <w:rFonts w:ascii="仿宋" w:hAnsi="仿宋" w:eastAsia="仿宋" w:cs="仿宋"/>
                <w:szCs w:val="21"/>
                <w:highlight w:val="none"/>
              </w:rPr>
              <w:t>100.00%</w:t>
            </w:r>
          </w:p>
        </w:tc>
      </w:tr>
    </w:tbl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outlineLvl w:val="0"/>
        <w:rPr>
          <w:rFonts w:hint="eastAsia" w:ascii="方正楷体_GBK" w:hAnsi="方正楷体_GBK" w:eastAsia="方正楷体_GBK" w:cs="方正楷体_GBK"/>
          <w:b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（四）校内外实践教学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highlight w:val="none"/>
        </w:rPr>
        <w:t>学院已经建成</w:t>
      </w: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highlight w:val="none"/>
        </w:rPr>
        <w:t>9个重庆市</w:t>
      </w: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</w:rPr>
        <w:t>重点实验实训基地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，设有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  <w:t>校外实习实训基地229个，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校内实训项目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highlight w:val="none"/>
          <w:lang w:val="en-US" w:eastAsia="zh-CN"/>
        </w:rPr>
        <w:t>350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highlight w:val="none"/>
        </w:rPr>
        <w:t>个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，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  <w:t>校内实践教学工位3261个，2018学年学生校外实习实训基地学时总量13719（人日），超过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/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的教学任务在实训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基地完成。2019年4月，学院成为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教育部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首批“1+X(BIM应用技术)”证书试点高职院校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。学院高度重视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1+X证书试点建设，截止2020年6月，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我院获批“建筑信息模型（BIM）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  <w:t>（初级、中级）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”、“工业机器人操作与运维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  <w:t>（初级）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”、“智能财税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  <w:t>（初级）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”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  <w:t>、“装配式建筑构件制作与安装（初级、中级）”、“建筑工程识图（初级、中级）”、“城市轨道站务（初级）”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6个职业技能等级证书试点，涵盖建筑工程技术、建筑钢结构工程技术、工程造价、建设工程管理、财务管理、建筑设计、机电一体化技术、工业机器人技术、城市轨道交通运营管理等专业。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学院进一步完善BIM应用技术实训教学条件，现已建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成5个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BIM实训机房、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1个VR虚拟仿真双创实训中心、1个远程智慧工地信息平台。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outlineLvl w:val="0"/>
        <w:rPr>
          <w:rFonts w:hint="eastAsia" w:ascii="方正楷体_GBK" w:hAnsi="方正楷体_GBK" w:eastAsia="方正楷体_GBK" w:cs="方正楷体_GBK"/>
          <w:b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（五）校企合作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0"/>
        <w:rPr>
          <w:rFonts w:hint="eastAsia" w:ascii="楷体" w:hAnsi="楷体" w:eastAsia="楷体" w:cs="楷体"/>
          <w:b w:val="0"/>
          <w:bCs w:val="0"/>
          <w:i w:val="0"/>
          <w:caps w:val="0"/>
          <w:color w:val="000000"/>
          <w:spacing w:val="0"/>
          <w:sz w:val="28"/>
          <w:szCs w:val="28"/>
          <w:highlight w:val="none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在产教融合、校企合作的政策引导下，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</w:rPr>
        <w:t>2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019年4月，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学院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牵头成立市级职业教育集团“重庆职能建造职业教育集团”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加入4个市级职业教育集团，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为助力职教行培建设，打下了更加坚实的基础。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积极携手建设类骨干企业组建市级双基地项目，为教学创新团队提供了“学用”、“产研”相结合的创新和实践平台。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2019年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</w:rPr>
        <w:t>兼职教师109人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支付企业兼职教师课酬145.4万元，企业兼职教师年课时总量10198课时。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0"/>
        <w:rPr>
          <w:rFonts w:hint="eastAsia" w:ascii="方正黑体_GBK" w:hAnsi="方正黑体_GBK" w:eastAsia="方正黑体_GBK" w:cs="方正黑体_GBK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四、学生发展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outlineLvl w:val="0"/>
        <w:rPr>
          <w:rFonts w:hint="eastAsia" w:ascii="方正楷体_GBK" w:hAnsi="方正楷体_GBK" w:eastAsia="方正楷体_GBK" w:cs="方正楷体_GBK"/>
          <w:b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（一）毕业生获得职业资格证书情况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0"/>
        <w:rPr>
          <w:rFonts w:hint="default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学院教育教学围绕行业素质需求、能力需求，实行学历教育与职业教育同步的“双证制”教育人才培养方案，毕业生在获得学历证书的同时，还可获得行业专业技术管理岗位证书、职业技能等级证书等职业证书。2019届毕业生获得中、高级职业技能等级证书数608个，获得社会认可度高的其它证书203个；在校生获得职业技能等级证书数890个。学院职业资格证书获得情况见表5。</w:t>
      </w:r>
    </w:p>
    <w:p>
      <w:pPr>
        <w:pStyle w:val="12"/>
        <w:spacing w:line="560" w:lineRule="exact"/>
        <w:ind w:firstLine="422"/>
        <w:jc w:val="center"/>
        <w:rPr>
          <w:rFonts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表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5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学院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职业资格证书获得情况统计</w:t>
      </w:r>
    </w:p>
    <w:tbl>
      <w:tblPr>
        <w:tblStyle w:val="10"/>
        <w:tblW w:w="84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5"/>
        <w:gridCol w:w="2004"/>
        <w:gridCol w:w="2138"/>
        <w:gridCol w:w="19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375" w:type="dxa"/>
            <w:shd w:val="clear" w:color="auto" w:fill="8DB3E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  <w:lang w:val="en-US" w:eastAsia="zh-CN"/>
              </w:rPr>
              <w:t>2019届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毕业生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  <w:lang w:eastAsia="zh-CN"/>
              </w:rPr>
              <w:t>获得职业技能等级证书数（中、高级）</w:t>
            </w:r>
          </w:p>
        </w:tc>
        <w:tc>
          <w:tcPr>
            <w:tcW w:w="2004" w:type="dxa"/>
            <w:shd w:val="clear" w:color="auto" w:fill="8DB3E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  <w:lang w:val="en-US" w:eastAsia="zh-CN"/>
              </w:rPr>
              <w:t>2019届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毕业生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  <w:lang w:eastAsia="zh-CN"/>
              </w:rPr>
              <w:t>获得社会认可度高的其它证书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数</w:t>
            </w:r>
          </w:p>
        </w:tc>
        <w:tc>
          <w:tcPr>
            <w:tcW w:w="2138" w:type="dxa"/>
            <w:shd w:val="clear" w:color="auto" w:fill="8DB3E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  <w:lang w:eastAsia="zh-CN"/>
              </w:rPr>
              <w:t>在校生获得职业技能等级证书数</w:t>
            </w:r>
          </w:p>
        </w:tc>
        <w:tc>
          <w:tcPr>
            <w:tcW w:w="1938" w:type="dxa"/>
            <w:shd w:val="clear" w:color="auto" w:fill="8DB3E2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  <w:lang w:eastAsia="zh-CN"/>
              </w:rPr>
              <w:t>社会人员培训获得职业技能等级证书数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375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pacing w:val="4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4"/>
                <w:kern w:val="0"/>
                <w:sz w:val="28"/>
                <w:szCs w:val="28"/>
                <w:highlight w:val="none"/>
                <w:lang w:val="en-US" w:eastAsia="zh-CN"/>
              </w:rPr>
              <w:t>608</w:t>
            </w:r>
          </w:p>
        </w:tc>
        <w:tc>
          <w:tcPr>
            <w:tcW w:w="2004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pacing w:val="4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4"/>
                <w:kern w:val="0"/>
                <w:sz w:val="28"/>
                <w:szCs w:val="28"/>
                <w:highlight w:val="none"/>
                <w:lang w:val="en-US" w:eastAsia="zh-CN"/>
              </w:rPr>
              <w:t>203</w:t>
            </w:r>
          </w:p>
        </w:tc>
        <w:tc>
          <w:tcPr>
            <w:tcW w:w="2138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pacing w:val="4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4"/>
                <w:kern w:val="0"/>
                <w:sz w:val="28"/>
                <w:szCs w:val="28"/>
                <w:highlight w:val="none"/>
                <w:lang w:val="en-US" w:eastAsia="zh-CN"/>
              </w:rPr>
              <w:t>890</w:t>
            </w:r>
          </w:p>
        </w:tc>
        <w:tc>
          <w:tcPr>
            <w:tcW w:w="1938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pacing w:val="4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4"/>
                <w:kern w:val="0"/>
                <w:sz w:val="28"/>
                <w:szCs w:val="28"/>
                <w:highlight w:val="none"/>
                <w:lang w:val="en-US" w:eastAsia="zh-CN"/>
              </w:rPr>
              <w:t>8281</w:t>
            </w:r>
          </w:p>
        </w:tc>
      </w:tr>
    </w:tbl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outlineLvl w:val="0"/>
        <w:rPr>
          <w:rFonts w:hint="eastAsia" w:ascii="方正楷体_GBK" w:hAnsi="方正楷体_GBK" w:eastAsia="方正楷体_GBK" w:cs="方正楷体_GBK"/>
          <w:b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（二）就业情况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学院高度重视毕业生就业工作，将就业工作作为人才培养的重要环节纳入学院教育质量提升工程，举全院之力促进毕业生高质量、充分就业。学院牵头成立了“重庆市智能建造职业教育集团”，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为广大毕业生提供更多的优质就业岗位。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学院成立毕业生就业工作领导小组，全面负责学院就业工作的组织和管理。各教学系组建了专门的毕业生就业工作小组，根据学院安排和本系的专业特点，建立广泛的人才供需体系。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学院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2019届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毕业生人数2422人；升学133人，升学率5.5%；直接就业2217人，含自主创业27人，直接就业率91.54%；其中当地就业1567人，占就业人数的70.68%；专业相关岗位就业1487人，就业学生专业对口率达67.07%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。学院整体就业率97.03%，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如表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所示：</w:t>
      </w:r>
    </w:p>
    <w:p>
      <w:pPr>
        <w:spacing w:line="560" w:lineRule="exact"/>
        <w:ind w:firstLine="482" w:firstLineChars="200"/>
        <w:jc w:val="center"/>
        <w:rPr>
          <w:rFonts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表</w:t>
      </w: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>6</w:t>
      </w:r>
      <w:r>
        <w:rPr>
          <w:rFonts w:hint="eastAsia" w:ascii="仿宋" w:hAnsi="仿宋" w:eastAsia="仿宋" w:cs="仿宋"/>
          <w:b/>
          <w:sz w:val="24"/>
          <w:szCs w:val="24"/>
        </w:rPr>
        <w:t xml:space="preserve">  2019届毕业生毕业去向分布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6"/>
        <w:gridCol w:w="1807"/>
        <w:gridCol w:w="1995"/>
        <w:gridCol w:w="14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2296" w:type="dxa"/>
            <w:shd w:val="clear" w:color="auto" w:fill="8DB3E2"/>
            <w:noWrap w:val="0"/>
            <w:vAlign w:val="center"/>
          </w:tcPr>
          <w:p>
            <w:pPr>
              <w:tabs>
                <w:tab w:val="left" w:pos="6255"/>
              </w:tabs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毕业去向</w:t>
            </w:r>
          </w:p>
        </w:tc>
        <w:tc>
          <w:tcPr>
            <w:tcW w:w="1807" w:type="dxa"/>
            <w:shd w:val="clear" w:color="auto" w:fill="8DB3E2"/>
            <w:noWrap w:val="0"/>
            <w:vAlign w:val="center"/>
          </w:tcPr>
          <w:p>
            <w:pPr>
              <w:tabs>
                <w:tab w:val="left" w:pos="6255"/>
              </w:tabs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人数</w:t>
            </w:r>
          </w:p>
        </w:tc>
        <w:tc>
          <w:tcPr>
            <w:tcW w:w="1995" w:type="dxa"/>
            <w:shd w:val="clear" w:color="auto" w:fill="8DB3E2"/>
            <w:noWrap w:val="0"/>
            <w:vAlign w:val="center"/>
          </w:tcPr>
          <w:p>
            <w:pPr>
              <w:tabs>
                <w:tab w:val="left" w:pos="6255"/>
              </w:tabs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比例（</w:t>
            </w:r>
            <w:r>
              <w:rPr>
                <w:rFonts w:ascii="仿宋" w:hAnsi="仿宋" w:eastAsia="仿宋" w:cs="仿宋"/>
                <w:b/>
                <w:bCs/>
                <w:sz w:val="28"/>
                <w:szCs w:val="28"/>
              </w:rPr>
              <w:t>%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）</w:t>
            </w:r>
          </w:p>
        </w:tc>
        <w:tc>
          <w:tcPr>
            <w:tcW w:w="1491" w:type="dxa"/>
            <w:shd w:val="clear" w:color="auto" w:fill="8DB3E2"/>
            <w:noWrap w:val="0"/>
            <w:vAlign w:val="center"/>
          </w:tcPr>
          <w:p>
            <w:pPr>
              <w:tabs>
                <w:tab w:val="left" w:pos="6255"/>
              </w:tabs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就业率（</w:t>
            </w:r>
            <w:r>
              <w:rPr>
                <w:rFonts w:ascii="仿宋" w:hAnsi="仿宋" w:eastAsia="仿宋" w:cs="仿宋"/>
                <w:b/>
                <w:bCs/>
                <w:sz w:val="28"/>
                <w:szCs w:val="28"/>
              </w:rPr>
              <w:t>%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296" w:type="dxa"/>
            <w:shd w:val="clear" w:color="auto" w:fill="auto"/>
            <w:noWrap w:val="0"/>
            <w:vAlign w:val="center"/>
          </w:tcPr>
          <w:p>
            <w:pPr>
              <w:tabs>
                <w:tab w:val="left" w:pos="6255"/>
              </w:tabs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升学</w:t>
            </w:r>
          </w:p>
        </w:tc>
        <w:tc>
          <w:tcPr>
            <w:tcW w:w="1807" w:type="dxa"/>
            <w:shd w:val="clear" w:color="auto" w:fill="auto"/>
            <w:noWrap w:val="0"/>
            <w:vAlign w:val="center"/>
          </w:tcPr>
          <w:p>
            <w:pPr>
              <w:tabs>
                <w:tab w:val="left" w:pos="6255"/>
              </w:tabs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val="en-US" w:eastAsia="zh-CN"/>
              </w:rPr>
              <w:t>133</w:t>
            </w:r>
          </w:p>
        </w:tc>
        <w:tc>
          <w:tcPr>
            <w:tcW w:w="1995" w:type="dxa"/>
            <w:shd w:val="clear" w:color="auto" w:fill="auto"/>
            <w:noWrap w:val="0"/>
            <w:vAlign w:val="center"/>
          </w:tcPr>
          <w:p>
            <w:pPr>
              <w:tabs>
                <w:tab w:val="left" w:pos="6255"/>
              </w:tabs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val="en-US" w:eastAsia="zh-CN"/>
              </w:rPr>
              <w:t>5.5</w:t>
            </w:r>
          </w:p>
        </w:tc>
        <w:tc>
          <w:tcPr>
            <w:tcW w:w="1491" w:type="dxa"/>
            <w:vMerge w:val="restart"/>
            <w:shd w:val="clear" w:color="auto" w:fill="FFFFFF"/>
            <w:noWrap w:val="0"/>
            <w:vAlign w:val="center"/>
          </w:tcPr>
          <w:p>
            <w:pPr>
              <w:tabs>
                <w:tab w:val="left" w:pos="6255"/>
              </w:tabs>
              <w:ind w:firstLine="240" w:firstLineChars="10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97.03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2296" w:type="dxa"/>
            <w:shd w:val="clear" w:color="auto" w:fill="C7DAF1"/>
            <w:noWrap w:val="0"/>
            <w:vAlign w:val="center"/>
          </w:tcPr>
          <w:p>
            <w:pPr>
              <w:tabs>
                <w:tab w:val="left" w:pos="6255"/>
              </w:tabs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自主创业</w:t>
            </w:r>
          </w:p>
        </w:tc>
        <w:tc>
          <w:tcPr>
            <w:tcW w:w="1807" w:type="dxa"/>
            <w:shd w:val="clear" w:color="auto" w:fill="C7DAF1"/>
            <w:noWrap w:val="0"/>
            <w:vAlign w:val="center"/>
          </w:tcPr>
          <w:p>
            <w:pPr>
              <w:tabs>
                <w:tab w:val="left" w:pos="6255"/>
              </w:tabs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val="en-US" w:eastAsia="zh-CN"/>
              </w:rPr>
              <w:t>27</w:t>
            </w:r>
          </w:p>
        </w:tc>
        <w:tc>
          <w:tcPr>
            <w:tcW w:w="1995" w:type="dxa"/>
            <w:shd w:val="clear" w:color="auto" w:fill="C7DAF1"/>
            <w:noWrap w:val="0"/>
            <w:vAlign w:val="center"/>
          </w:tcPr>
          <w:p>
            <w:pPr>
              <w:tabs>
                <w:tab w:val="left" w:pos="6255"/>
              </w:tabs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val="en-US" w:eastAsia="zh-CN"/>
              </w:rPr>
              <w:t>1.1</w:t>
            </w:r>
          </w:p>
        </w:tc>
        <w:tc>
          <w:tcPr>
            <w:tcW w:w="1491" w:type="dxa"/>
            <w:vMerge w:val="continue"/>
            <w:noWrap w:val="0"/>
            <w:vAlign w:val="center"/>
          </w:tcPr>
          <w:p>
            <w:pPr>
              <w:tabs>
                <w:tab w:val="left" w:pos="6255"/>
              </w:tabs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2296" w:type="dxa"/>
            <w:noWrap w:val="0"/>
            <w:vAlign w:val="center"/>
          </w:tcPr>
          <w:p>
            <w:pPr>
              <w:tabs>
                <w:tab w:val="left" w:pos="6255"/>
              </w:tabs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就业</w:t>
            </w:r>
          </w:p>
        </w:tc>
        <w:tc>
          <w:tcPr>
            <w:tcW w:w="1807" w:type="dxa"/>
            <w:noWrap w:val="0"/>
            <w:vAlign w:val="center"/>
          </w:tcPr>
          <w:p>
            <w:pPr>
              <w:tabs>
                <w:tab w:val="left" w:pos="6255"/>
              </w:tabs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val="en-US" w:eastAsia="zh-CN"/>
              </w:rPr>
              <w:t>2190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tabs>
                <w:tab w:val="left" w:pos="6255"/>
              </w:tabs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val="en-US" w:eastAsia="zh-CN"/>
              </w:rPr>
              <w:t>90.42</w:t>
            </w:r>
          </w:p>
        </w:tc>
        <w:tc>
          <w:tcPr>
            <w:tcW w:w="1491" w:type="dxa"/>
            <w:vMerge w:val="continue"/>
            <w:noWrap w:val="0"/>
            <w:vAlign w:val="center"/>
          </w:tcPr>
          <w:p>
            <w:pPr>
              <w:tabs>
                <w:tab w:val="left" w:pos="6255"/>
              </w:tabs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2296" w:type="dxa"/>
            <w:shd w:val="clear" w:color="auto" w:fill="C7DAF1"/>
            <w:noWrap w:val="0"/>
            <w:vAlign w:val="center"/>
          </w:tcPr>
          <w:p>
            <w:pPr>
              <w:tabs>
                <w:tab w:val="left" w:pos="6255"/>
              </w:tabs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其中：当地就业</w:t>
            </w:r>
          </w:p>
        </w:tc>
        <w:tc>
          <w:tcPr>
            <w:tcW w:w="1807" w:type="dxa"/>
            <w:shd w:val="clear" w:color="auto" w:fill="C7DAF1"/>
            <w:noWrap w:val="0"/>
            <w:vAlign w:val="center"/>
          </w:tcPr>
          <w:p>
            <w:pPr>
              <w:tabs>
                <w:tab w:val="left" w:pos="6255"/>
              </w:tabs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val="en-US" w:eastAsia="zh-CN"/>
              </w:rPr>
              <w:t>1567</w:t>
            </w:r>
          </w:p>
        </w:tc>
        <w:tc>
          <w:tcPr>
            <w:tcW w:w="1995" w:type="dxa"/>
            <w:shd w:val="clear" w:color="auto" w:fill="C7DAF1"/>
            <w:noWrap w:val="0"/>
            <w:vAlign w:val="center"/>
          </w:tcPr>
          <w:p>
            <w:pPr>
              <w:tabs>
                <w:tab w:val="left" w:pos="6255"/>
              </w:tabs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val="en-US" w:eastAsia="zh-CN"/>
              </w:rPr>
              <w:t>70.68</w:t>
            </w:r>
          </w:p>
        </w:tc>
        <w:tc>
          <w:tcPr>
            <w:tcW w:w="1491" w:type="dxa"/>
            <w:noWrap w:val="0"/>
            <w:vAlign w:val="center"/>
          </w:tcPr>
          <w:p>
            <w:pPr>
              <w:tabs>
                <w:tab w:val="left" w:pos="6255"/>
              </w:tabs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val="en-US" w:eastAsia="zh-CN"/>
              </w:rPr>
              <w:t>70.68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2296" w:type="dxa"/>
            <w:noWrap w:val="0"/>
            <w:vAlign w:val="center"/>
          </w:tcPr>
          <w:p>
            <w:pPr>
              <w:tabs>
                <w:tab w:val="left" w:pos="6255"/>
              </w:tabs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专业相关岗位就业</w:t>
            </w:r>
          </w:p>
        </w:tc>
        <w:tc>
          <w:tcPr>
            <w:tcW w:w="1807" w:type="dxa"/>
            <w:noWrap w:val="0"/>
            <w:vAlign w:val="center"/>
          </w:tcPr>
          <w:p>
            <w:pPr>
              <w:tabs>
                <w:tab w:val="left" w:pos="6255"/>
              </w:tabs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val="en-US" w:eastAsia="zh-CN"/>
              </w:rPr>
              <w:t>1487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tabs>
                <w:tab w:val="left" w:pos="6255"/>
              </w:tabs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val="en-US" w:eastAsia="zh-CN"/>
              </w:rPr>
              <w:t>67.07</w:t>
            </w:r>
          </w:p>
        </w:tc>
        <w:tc>
          <w:tcPr>
            <w:tcW w:w="1491" w:type="dxa"/>
            <w:noWrap w:val="0"/>
            <w:vAlign w:val="center"/>
          </w:tcPr>
          <w:p>
            <w:pPr>
              <w:tabs>
                <w:tab w:val="left" w:pos="6255"/>
              </w:tabs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val="en-US" w:eastAsia="zh-CN"/>
              </w:rPr>
              <w:t>67.07</w:t>
            </w:r>
          </w:p>
        </w:tc>
      </w:tr>
    </w:tbl>
    <w:p>
      <w:pPr>
        <w:pStyle w:val="9"/>
        <w:widowControl/>
        <w:numPr>
          <w:ilvl w:val="0"/>
          <w:numId w:val="0"/>
        </w:numPr>
        <w:spacing w:line="560" w:lineRule="exact"/>
        <w:jc w:val="both"/>
        <w:outlineLvl w:val="0"/>
        <w:rPr>
          <w:rFonts w:hint="default" w:ascii="楷体" w:hAnsi="楷体" w:eastAsia="楷体" w:cs="楷体"/>
          <w:i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</w:pP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0"/>
        <w:rPr>
          <w:rFonts w:hint="eastAsia" w:ascii="方正黑体_GBK" w:hAnsi="方正黑体_GBK" w:eastAsia="方正黑体_GBK" w:cs="方正黑体_GBK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黑体_GBK" w:hAnsi="方正黑体_GBK" w:eastAsia="方正黑体_GBK" w:cs="方正黑体_GBK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五、社会服务能力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auto"/>
        <w:outlineLvl w:val="0"/>
        <w:rPr>
          <w:rFonts w:hint="eastAsia" w:ascii="方正楷体_GBK" w:hAnsi="方正楷体_GBK" w:eastAsia="方正楷体_GBK" w:cs="方正楷体_GBK"/>
          <w:b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（一）专业设置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</w:rPr>
        <w:t>学院现有在校生总数为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  <w:t>8319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</w:rPr>
        <w:t>人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eastAsia="zh-CN"/>
        </w:rPr>
        <w:t>，开设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  <w:t>48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</w:rPr>
        <w:t>个专业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eastAsia="zh-CN"/>
        </w:rPr>
        <w:t>（含两年制专业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val="en-US" w:eastAsia="zh-CN"/>
        </w:rPr>
        <w:t>8个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形成学院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6大专业群。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highlight w:val="none"/>
          <w:lang w:eastAsia="zh-CN"/>
        </w:rPr>
        <w:t>包括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紧缺行业专业14个，支柱产业专业34个，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其中参与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1+X试点专业9个。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覆盖交通与土建、建设经济与管理、城市轨道交通、智能制造、城镇规划与风景园林设计等领域，办学特色鲜明、行业优势明显。学院专业以建设工程类为主，覆盖交通与市政、建设经济与管理、城市轨道交通、城镇规划与风景园林设计等领域，其中，建筑钢结构工程技术、土木工程检测技术、建设项目信息化管理、村镇建设与管理、建筑电气工程技术、地下与隧道工程技术、港口与航道工程技术等专业填补了重庆高职院校专业设置的空白。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auto"/>
        <w:outlineLvl w:val="0"/>
        <w:rPr>
          <w:rFonts w:hint="eastAsia" w:ascii="方正楷体_GBK" w:hAnsi="方正楷体_GBK" w:eastAsia="方正楷体_GBK" w:cs="方正楷体_GBK"/>
          <w:b/>
          <w:bCs/>
          <w:spacing w:val="4"/>
          <w:kern w:val="0"/>
          <w:sz w:val="32"/>
          <w:szCs w:val="32"/>
          <w:highlight w:val="yellow"/>
          <w:lang w:eastAsia="zh-CN"/>
        </w:rPr>
      </w:pPr>
      <w:r>
        <w:rPr>
          <w:rFonts w:hint="eastAsia" w:ascii="方正楷体_GBK" w:hAnsi="方正楷体_GBK" w:eastAsia="方正楷体_GBK" w:cs="方正楷体_GBK"/>
          <w:b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（二）向企事业单位提供技术服务情况</w:t>
      </w:r>
      <w:r>
        <w:rPr>
          <w:rFonts w:hint="eastAsia" w:ascii="方正楷体_GBK" w:hAnsi="方正楷体_GBK" w:eastAsia="方正楷体_GBK" w:cs="方正楷体_GBK"/>
          <w:b/>
          <w:bCs/>
          <w:spacing w:val="4"/>
          <w:kern w:val="0"/>
          <w:sz w:val="32"/>
          <w:szCs w:val="32"/>
        </w:rPr>
        <w:t xml:space="preserve"> 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0"/>
        <w:rPr>
          <w:rFonts w:hint="eastAsia" w:ascii="方正仿宋_GBK" w:hAnsi="方正仿宋_GBK" w:eastAsia="方正仿宋_GBK" w:cs="方正仿宋_GBK"/>
          <w:kern w:val="2"/>
          <w:sz w:val="32"/>
          <w:szCs w:val="32"/>
          <w:shd w:val="clear" w:fill="FF0000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学院围绕行业企业科技创新需求，积极与行业企业交流合作，搭建多形式的产学研平台，打造高水平的研发中心、高层次的协同创新中心，全面融入行业企业创新体系，联系地方经济社会发展。2019年学院纵向科研到款经费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shd w:val="clear"/>
          <w:lang w:val="en-US" w:eastAsia="zh-CN" w:bidi="ar-SA"/>
        </w:rPr>
        <w:t>85万元；横向技术服务到款经费1157.80万元；培训服务经费840.53万元；技术交易到款经费14.25万元。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学院依托行业办校优势，统筹校内外资源，形成了以建筑施工起重机械特种作业培训、BIM培训、专业技能管理岗位培训、重庆市二级造价工程师考试培训等主的培训项目，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近两年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累计举办培训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263场次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，培训人数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24274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人次，有力支撑了地区经济发展的人才需求。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auto"/>
        <w:outlineLvl w:val="0"/>
        <w:rPr>
          <w:rFonts w:hint="eastAsia" w:ascii="方正楷体_GBK" w:hAnsi="方正楷体_GBK" w:eastAsia="方正楷体_GBK" w:cs="方正楷体_GBK"/>
          <w:b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（三）满足政府购买服务情况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0"/>
        <w:rPr>
          <w:rFonts w:hint="eastAsia" w:ascii="楷体" w:hAnsi="楷体" w:eastAsia="楷体" w:cs="楷体"/>
          <w:i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政府对贫困学生下拨的扶贫专项经费为854.28万元；学校承办各级政府社会人员各类培训任务所取得的经费为33.44万元，其它服务专项经费20.56万元。</w:t>
      </w:r>
    </w:p>
    <w:p>
      <w:pPr>
        <w:numPr>
          <w:ilvl w:val="0"/>
          <w:numId w:val="0"/>
        </w:numPr>
        <w:jc w:val="center"/>
        <w:rPr>
          <w:rFonts w:hint="eastAsia" w:ascii="方正黑体_GBK" w:hAnsi="方正黑体_GBK" w:eastAsia="方正黑体_GBK" w:cs="方正黑体_GBK"/>
          <w:b w:val="0"/>
          <w:bCs w:val="0"/>
          <w:kern w:val="0"/>
          <w:sz w:val="36"/>
          <w:szCs w:val="36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6"/>
          <w:szCs w:val="36"/>
          <w:lang w:val="en-US" w:eastAsia="zh-CN"/>
        </w:rPr>
        <w:t xml:space="preserve">第三部分 </w:t>
      </w:r>
      <w:r>
        <w:rPr>
          <w:rFonts w:hint="eastAsia" w:ascii="方正黑体_GBK" w:hAnsi="方正黑体_GBK" w:eastAsia="方正黑体_GBK" w:cs="方正黑体_GBK"/>
          <w:b w:val="0"/>
          <w:bCs w:val="0"/>
          <w:kern w:val="0"/>
          <w:sz w:val="36"/>
          <w:szCs w:val="36"/>
          <w:lang w:val="en-US" w:eastAsia="zh-CN" w:bidi="ar-SA"/>
        </w:rPr>
        <w:t>问题及解决方法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一、发现的问题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59" w:firstLineChars="200"/>
        <w:jc w:val="left"/>
        <w:textAlignment w:val="auto"/>
        <w:rPr>
          <w:rFonts w:hint="eastAsia" w:ascii="方正楷体_GBK" w:hAnsi="方正楷体_GBK" w:eastAsia="方正楷体_GBK" w:cs="方正楷体_GBK"/>
          <w:b/>
          <w:bCs/>
          <w:spacing w:val="4"/>
          <w:kern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/>
          <w:bCs/>
          <w:spacing w:val="4"/>
          <w:kern w:val="0"/>
          <w:sz w:val="32"/>
          <w:szCs w:val="32"/>
          <w:lang w:val="en-US" w:eastAsia="zh-CN"/>
        </w:rPr>
        <w:t>问题</w:t>
      </w:r>
      <w:r>
        <w:rPr>
          <w:rFonts w:hint="eastAsia" w:ascii="方正楷体_GBK" w:hAnsi="方正楷体_GBK" w:eastAsia="方正楷体_GBK" w:cs="方正楷体_GBK"/>
          <w:b/>
          <w:bCs/>
          <w:spacing w:val="4"/>
          <w:kern w:val="0"/>
          <w:sz w:val="32"/>
          <w:szCs w:val="32"/>
        </w:rPr>
        <w:t>1：体制机制创新</w:t>
      </w:r>
      <w:r>
        <w:rPr>
          <w:rFonts w:hint="eastAsia" w:ascii="方正楷体_GBK" w:hAnsi="方正楷体_GBK" w:eastAsia="方正楷体_GBK" w:cs="方正楷体_GBK"/>
          <w:b/>
          <w:bCs/>
          <w:spacing w:val="4"/>
          <w:kern w:val="0"/>
          <w:sz w:val="32"/>
          <w:szCs w:val="32"/>
          <w:lang w:val="en-US" w:eastAsia="zh-CN"/>
        </w:rPr>
        <w:t>需要进一步</w:t>
      </w:r>
      <w:r>
        <w:rPr>
          <w:rFonts w:hint="eastAsia" w:ascii="方正楷体_GBK" w:hAnsi="方正楷体_GBK" w:eastAsia="方正楷体_GBK" w:cs="方正楷体_GBK"/>
          <w:b/>
          <w:bCs/>
          <w:spacing w:val="4"/>
          <w:kern w:val="0"/>
          <w:sz w:val="32"/>
          <w:szCs w:val="32"/>
        </w:rPr>
        <w:t>深化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56" w:firstLineChars="200"/>
        <w:jc w:val="left"/>
        <w:textAlignment w:val="auto"/>
        <w:rPr>
          <w:rFonts w:hint="eastAsia" w:ascii="方正仿宋_GBK" w:hAnsi="方正仿宋_GBK" w:eastAsia="方正仿宋_GBK" w:cs="方正仿宋_GBK"/>
          <w:spacing w:val="4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4"/>
          <w:kern w:val="0"/>
          <w:sz w:val="32"/>
          <w:szCs w:val="32"/>
        </w:rPr>
        <w:t>产教融合、校企合作、协同创新的广度深度需要进一步拓展，长效机制需要进一步完善，服务产业、提升产业、引领产业的能力水平有待进一步提升。在完善校院治理，实现管理重心下移，有效激发</w:t>
      </w:r>
      <w:r>
        <w:rPr>
          <w:rFonts w:hint="eastAsia" w:ascii="方正仿宋_GBK" w:hAnsi="方正仿宋_GBK" w:eastAsia="方正仿宋_GBK" w:cs="方正仿宋_GBK"/>
          <w:spacing w:val="4"/>
          <w:kern w:val="0"/>
          <w:sz w:val="32"/>
          <w:szCs w:val="32"/>
          <w:lang w:val="en-US" w:eastAsia="zh-CN"/>
        </w:rPr>
        <w:t>系（部）工作</w:t>
      </w:r>
      <w:r>
        <w:rPr>
          <w:rFonts w:hint="eastAsia" w:ascii="方正仿宋_GBK" w:hAnsi="方正仿宋_GBK" w:eastAsia="方正仿宋_GBK" w:cs="方正仿宋_GBK"/>
          <w:spacing w:val="4"/>
          <w:kern w:val="0"/>
          <w:sz w:val="32"/>
          <w:szCs w:val="32"/>
        </w:rPr>
        <w:t xml:space="preserve">方面还需要加大工作力度。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59" w:firstLineChars="200"/>
        <w:jc w:val="left"/>
        <w:textAlignment w:val="auto"/>
        <w:rPr>
          <w:rFonts w:hint="eastAsia" w:ascii="方正仿宋_GBK" w:hAnsi="方正仿宋_GBK" w:eastAsia="方正仿宋_GBK" w:cs="方正仿宋_GBK"/>
          <w:spacing w:val="4"/>
          <w:kern w:val="0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pacing w:val="4"/>
          <w:kern w:val="0"/>
          <w:sz w:val="32"/>
          <w:szCs w:val="32"/>
          <w:lang w:val="en-US" w:eastAsia="zh-CN"/>
        </w:rPr>
        <w:t>问题</w:t>
      </w:r>
      <w:r>
        <w:rPr>
          <w:rFonts w:hint="eastAsia" w:ascii="方正楷体_GBK" w:hAnsi="方正楷体_GBK" w:eastAsia="方正楷体_GBK" w:cs="方正楷体_GBK"/>
          <w:b/>
          <w:bCs/>
          <w:spacing w:val="4"/>
          <w:kern w:val="0"/>
          <w:sz w:val="32"/>
          <w:szCs w:val="32"/>
        </w:rPr>
        <w:t>2：师资队伍水平</w:t>
      </w:r>
      <w:r>
        <w:rPr>
          <w:rFonts w:hint="eastAsia" w:ascii="方正楷体_GBK" w:hAnsi="方正楷体_GBK" w:eastAsia="方正楷体_GBK" w:cs="方正楷体_GBK"/>
          <w:b/>
          <w:bCs/>
          <w:spacing w:val="4"/>
          <w:kern w:val="0"/>
          <w:sz w:val="32"/>
          <w:szCs w:val="32"/>
          <w:lang w:val="en-US" w:eastAsia="zh-CN"/>
        </w:rPr>
        <w:t>仍需</w:t>
      </w:r>
      <w:r>
        <w:rPr>
          <w:rFonts w:hint="eastAsia" w:ascii="方正楷体_GBK" w:hAnsi="方正楷体_GBK" w:eastAsia="方正楷体_GBK" w:cs="方正楷体_GBK"/>
          <w:b/>
          <w:bCs/>
          <w:spacing w:val="4"/>
          <w:kern w:val="0"/>
          <w:sz w:val="32"/>
          <w:szCs w:val="32"/>
        </w:rPr>
        <w:t>进一步提升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56" w:firstLineChars="200"/>
        <w:jc w:val="left"/>
        <w:textAlignment w:val="auto"/>
        <w:rPr>
          <w:rFonts w:hint="eastAsia" w:ascii="方正仿宋_GBK" w:hAnsi="方正仿宋_GBK" w:eastAsia="方正仿宋_GBK" w:cs="方正仿宋_GBK"/>
          <w:spacing w:val="4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4"/>
          <w:kern w:val="0"/>
          <w:sz w:val="32"/>
          <w:szCs w:val="32"/>
        </w:rPr>
        <w:t>技能大师、教学名师等领军人才</w:t>
      </w:r>
      <w:r>
        <w:rPr>
          <w:rFonts w:hint="eastAsia" w:ascii="方正仿宋_GBK" w:hAnsi="方正仿宋_GBK" w:eastAsia="方正仿宋_GBK" w:cs="方正仿宋_GBK"/>
          <w:spacing w:val="4"/>
          <w:kern w:val="0"/>
          <w:sz w:val="32"/>
          <w:szCs w:val="32"/>
          <w:lang w:val="en-US" w:eastAsia="zh-CN"/>
        </w:rPr>
        <w:t>较</w:t>
      </w:r>
      <w:r>
        <w:rPr>
          <w:rFonts w:hint="eastAsia" w:ascii="方正仿宋_GBK" w:hAnsi="方正仿宋_GBK" w:eastAsia="方正仿宋_GBK" w:cs="方正仿宋_GBK"/>
          <w:spacing w:val="4"/>
          <w:kern w:val="0"/>
          <w:sz w:val="32"/>
          <w:szCs w:val="32"/>
        </w:rPr>
        <w:t>缺乏，师资队伍结构还需优化。教师技术应用和创新能力不足，科研创新等素质能力亟待提升，建设一支国际化的高水平“双师”型教师队伍还需继续努力。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59" w:firstLineChars="200"/>
        <w:jc w:val="left"/>
        <w:textAlignment w:val="auto"/>
        <w:rPr>
          <w:rFonts w:hint="eastAsia" w:ascii="方正楷体_GBK" w:hAnsi="方正楷体_GBK" w:eastAsia="方正楷体_GBK" w:cs="方正楷体_GBK"/>
          <w:b/>
          <w:bCs/>
          <w:spacing w:val="4"/>
          <w:kern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/>
          <w:bCs/>
          <w:spacing w:val="4"/>
          <w:kern w:val="0"/>
          <w:sz w:val="32"/>
          <w:szCs w:val="32"/>
          <w:lang w:val="en-US" w:eastAsia="zh-CN"/>
        </w:rPr>
        <w:t>问题</w:t>
      </w:r>
      <w:r>
        <w:rPr>
          <w:rFonts w:hint="eastAsia" w:ascii="方正楷体_GBK" w:hAnsi="方正楷体_GBK" w:eastAsia="方正楷体_GBK" w:cs="方正楷体_GBK"/>
          <w:b/>
          <w:bCs/>
          <w:spacing w:val="4"/>
          <w:kern w:val="0"/>
          <w:sz w:val="32"/>
          <w:szCs w:val="32"/>
        </w:rPr>
        <w:t>3：专业群建设</w:t>
      </w:r>
      <w:r>
        <w:rPr>
          <w:rFonts w:hint="eastAsia" w:ascii="方正楷体_GBK" w:hAnsi="方正楷体_GBK" w:eastAsia="方正楷体_GBK" w:cs="方正楷体_GBK"/>
          <w:b/>
          <w:bCs/>
          <w:spacing w:val="4"/>
          <w:kern w:val="0"/>
          <w:sz w:val="32"/>
          <w:szCs w:val="32"/>
          <w:lang w:val="en-US" w:eastAsia="zh-CN"/>
        </w:rPr>
        <w:t>仍需</w:t>
      </w:r>
      <w:r>
        <w:rPr>
          <w:rFonts w:hint="eastAsia" w:ascii="方正楷体_GBK" w:hAnsi="方正楷体_GBK" w:eastAsia="方正楷体_GBK" w:cs="方正楷体_GBK"/>
          <w:b/>
          <w:bCs/>
          <w:spacing w:val="4"/>
          <w:kern w:val="0"/>
          <w:sz w:val="32"/>
          <w:szCs w:val="32"/>
        </w:rPr>
        <w:t>持续优化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56" w:firstLineChars="200"/>
        <w:jc w:val="left"/>
        <w:textAlignment w:val="auto"/>
        <w:rPr>
          <w:rFonts w:hint="eastAsia" w:ascii="方正仿宋_GBK" w:hAnsi="方正仿宋_GBK" w:eastAsia="方正仿宋_GBK" w:cs="方正仿宋_GBK"/>
          <w:spacing w:val="4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4"/>
          <w:kern w:val="0"/>
          <w:sz w:val="32"/>
          <w:szCs w:val="32"/>
        </w:rPr>
        <w:t xml:space="preserve">专业群的聚集效应和示范作用尚未充分发挥，专业发展还不平衡，专业群建设与行业产业发展的吻合度还要进一步加强。在培养模式、课程建设、教育教学管理等方面的特色还需要进一步凝练。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59" w:firstLineChars="200"/>
        <w:jc w:val="left"/>
        <w:textAlignment w:val="auto"/>
        <w:rPr>
          <w:rFonts w:hint="eastAsia" w:ascii="方正仿宋_GBK" w:hAnsi="方正仿宋_GBK" w:eastAsia="方正仿宋_GBK" w:cs="方正仿宋_GBK"/>
          <w:spacing w:val="4"/>
          <w:kern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/>
          <w:bCs/>
          <w:spacing w:val="4"/>
          <w:kern w:val="0"/>
          <w:sz w:val="32"/>
          <w:szCs w:val="32"/>
          <w:lang w:val="en-US" w:eastAsia="zh-CN"/>
        </w:rPr>
        <w:t>问题</w:t>
      </w:r>
      <w:r>
        <w:rPr>
          <w:rFonts w:hint="eastAsia" w:ascii="方正楷体_GBK" w:hAnsi="方正楷体_GBK" w:eastAsia="方正楷体_GBK" w:cs="方正楷体_GBK"/>
          <w:b/>
          <w:bCs/>
          <w:spacing w:val="4"/>
          <w:kern w:val="0"/>
          <w:sz w:val="32"/>
          <w:szCs w:val="32"/>
        </w:rPr>
        <w:t>4：拓展国际合作视野</w:t>
      </w:r>
      <w:r>
        <w:rPr>
          <w:rFonts w:hint="eastAsia" w:ascii="方正仿宋_GBK" w:hAnsi="方正仿宋_GBK" w:eastAsia="方正仿宋_GBK" w:cs="方正仿宋_GBK"/>
          <w:spacing w:val="4"/>
          <w:kern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56" w:firstLineChars="200"/>
        <w:jc w:val="left"/>
        <w:textAlignment w:val="auto"/>
        <w:rPr>
          <w:rFonts w:hint="eastAsia" w:ascii="方正仿宋_GBK" w:hAnsi="方正仿宋_GBK" w:eastAsia="方正仿宋_GBK" w:cs="方正仿宋_GBK"/>
          <w:spacing w:val="4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4"/>
          <w:kern w:val="0"/>
          <w:sz w:val="32"/>
          <w:szCs w:val="32"/>
        </w:rPr>
        <w:t>不断增强全校国际化办学的自觉性与主动性，营造全校国际化办学氛围</w:t>
      </w:r>
      <w:r>
        <w:rPr>
          <w:rFonts w:hint="eastAsia" w:ascii="方正仿宋_GBK" w:hAnsi="方正仿宋_GBK" w:eastAsia="方正仿宋_GBK" w:cs="方正仿宋_GBK"/>
          <w:spacing w:val="4"/>
          <w:kern w:val="0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pacing w:val="4"/>
          <w:kern w:val="0"/>
          <w:sz w:val="32"/>
          <w:szCs w:val="32"/>
        </w:rPr>
        <w:t xml:space="preserve">加强与国（境）外中资企业联系；消化吸收与引进优质教育资源，参与专业实践教学指导或技术研发服务，参加国际技能竞赛。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</w:pPr>
      <w:bookmarkStart w:id="0" w:name="_Toc534145763"/>
      <w:bookmarkStart w:id="1" w:name="_Toc28119724"/>
      <w:bookmarkStart w:id="2" w:name="_Toc32451"/>
      <w:bookmarkStart w:id="3" w:name="_Toc2296"/>
      <w:bookmarkStart w:id="4" w:name="_Toc1933"/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二、改进措施</w:t>
      </w:r>
      <w:bookmarkEnd w:id="0"/>
      <w:bookmarkEnd w:id="1"/>
      <w:bookmarkEnd w:id="2"/>
      <w:bookmarkEnd w:id="3"/>
      <w:bookmarkEnd w:id="4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56" w:firstLineChars="200"/>
        <w:jc w:val="left"/>
        <w:textAlignment w:val="auto"/>
        <w:rPr>
          <w:rFonts w:hint="eastAsia" w:ascii="方正仿宋_GBK" w:hAnsi="方正仿宋_GBK" w:eastAsia="方正仿宋_GBK" w:cs="方正仿宋_GBK"/>
          <w:spacing w:val="4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4"/>
          <w:kern w:val="0"/>
          <w:sz w:val="32"/>
          <w:szCs w:val="32"/>
        </w:rPr>
        <w:t>今后工作中，我院将紧密围绕重庆战略性新兴产业和现代服务业的需要，进一步加强基础能力建设，扩大优质高职教育资源，深化人才培养机制改革，</w:t>
      </w:r>
      <w:r>
        <w:rPr>
          <w:rFonts w:hint="eastAsia" w:ascii="方正仿宋_GBK" w:hAnsi="方正仿宋_GBK" w:eastAsia="方正仿宋_GBK" w:cs="方正仿宋_GBK"/>
          <w:spacing w:val="4"/>
          <w:kern w:val="0"/>
          <w:sz w:val="32"/>
          <w:szCs w:val="32"/>
          <w:lang w:eastAsia="zh-CN"/>
        </w:rPr>
        <w:t>提升</w:t>
      </w:r>
      <w:r>
        <w:rPr>
          <w:rFonts w:hint="eastAsia" w:ascii="方正仿宋_GBK" w:hAnsi="方正仿宋_GBK" w:eastAsia="方正仿宋_GBK" w:cs="方正仿宋_GBK"/>
          <w:spacing w:val="4"/>
          <w:kern w:val="0"/>
          <w:sz w:val="32"/>
          <w:szCs w:val="32"/>
        </w:rPr>
        <w:t>教师</w:t>
      </w:r>
      <w:r>
        <w:rPr>
          <w:rFonts w:hint="eastAsia" w:ascii="方正仿宋_GBK" w:hAnsi="方正仿宋_GBK" w:eastAsia="方正仿宋_GBK" w:cs="方正仿宋_GBK"/>
          <w:spacing w:val="4"/>
          <w:kern w:val="0"/>
          <w:sz w:val="32"/>
          <w:szCs w:val="32"/>
          <w:lang w:eastAsia="zh-CN"/>
        </w:rPr>
        <w:t>素质</w:t>
      </w:r>
      <w:r>
        <w:rPr>
          <w:rFonts w:hint="eastAsia" w:ascii="方正仿宋_GBK" w:hAnsi="方正仿宋_GBK" w:eastAsia="方正仿宋_GBK" w:cs="方正仿宋_GBK"/>
          <w:spacing w:val="4"/>
          <w:kern w:val="0"/>
          <w:sz w:val="32"/>
          <w:szCs w:val="32"/>
        </w:rPr>
        <w:t>培养，加大科研</w:t>
      </w:r>
      <w:r>
        <w:rPr>
          <w:rFonts w:hint="eastAsia" w:ascii="方正仿宋_GBK" w:hAnsi="方正仿宋_GBK" w:eastAsia="方正仿宋_GBK" w:cs="方正仿宋_GBK"/>
          <w:spacing w:val="4"/>
          <w:kern w:val="0"/>
          <w:sz w:val="32"/>
          <w:szCs w:val="32"/>
          <w:lang w:eastAsia="zh-CN"/>
        </w:rPr>
        <w:t>成果转化</w:t>
      </w:r>
      <w:r>
        <w:rPr>
          <w:rFonts w:hint="eastAsia" w:ascii="方正仿宋_GBK" w:hAnsi="方正仿宋_GBK" w:eastAsia="方正仿宋_GBK" w:cs="方正仿宋_GBK"/>
          <w:spacing w:val="4"/>
          <w:kern w:val="0"/>
          <w:sz w:val="32"/>
          <w:szCs w:val="32"/>
        </w:rPr>
        <w:t>力度等。具体措施如下：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59" w:firstLineChars="200"/>
        <w:jc w:val="left"/>
        <w:textAlignment w:val="auto"/>
        <w:rPr>
          <w:rFonts w:hint="eastAsia" w:ascii="方正楷体_GBK" w:hAnsi="方正楷体_GBK" w:eastAsia="方正楷体_GBK" w:cs="方正楷体_GBK"/>
          <w:b/>
          <w:bCs/>
          <w:spacing w:val="4"/>
          <w:kern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/>
          <w:bCs/>
          <w:spacing w:val="4"/>
          <w:kern w:val="0"/>
          <w:sz w:val="32"/>
          <w:szCs w:val="32"/>
        </w:rPr>
        <w:t>措施1：深入开展人才培养机制改革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56" w:firstLineChars="200"/>
        <w:jc w:val="left"/>
        <w:textAlignment w:val="auto"/>
        <w:rPr>
          <w:rFonts w:hint="eastAsia" w:ascii="方正仿宋_GBK" w:hAnsi="方正仿宋_GBK" w:eastAsia="方正仿宋_GBK" w:cs="方正仿宋_GBK"/>
          <w:spacing w:val="4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4"/>
          <w:kern w:val="0"/>
          <w:sz w:val="32"/>
          <w:szCs w:val="32"/>
        </w:rPr>
        <w:t>优化专业结构与布局，提升服务产业能力，对接建设行业产业链的全程需求，构建集群化专业体系，创新合作育人模式。课程内容与职业资格标准对接，毕业证书与职业资格证书对接。加强创新创业平台建设，建立课程+活动+能力认证的“三级式”创新创业教育体系，建立创新创业竞赛+训练+实践孵化的“三位一体”创新创业训练孵化体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59" w:firstLineChars="200"/>
        <w:jc w:val="left"/>
        <w:textAlignment w:val="auto"/>
        <w:rPr>
          <w:rFonts w:hint="eastAsia" w:ascii="方正楷体_GBK" w:hAnsi="方正楷体_GBK" w:eastAsia="方正楷体_GBK" w:cs="方正楷体_GBK"/>
          <w:b/>
          <w:bCs/>
          <w:spacing w:val="4"/>
          <w:kern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/>
          <w:bCs/>
          <w:spacing w:val="4"/>
          <w:kern w:val="0"/>
          <w:sz w:val="32"/>
          <w:szCs w:val="32"/>
        </w:rPr>
        <w:t>措施2：着力加强人才队伍建设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56" w:firstLineChars="200"/>
        <w:jc w:val="left"/>
        <w:textAlignment w:val="auto"/>
        <w:rPr>
          <w:rFonts w:hint="eastAsia" w:ascii="方正仿宋_GBK" w:hAnsi="方正仿宋_GBK" w:eastAsia="方正仿宋_GBK" w:cs="方正仿宋_GBK"/>
          <w:spacing w:val="4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4"/>
          <w:kern w:val="0"/>
          <w:sz w:val="32"/>
          <w:szCs w:val="32"/>
        </w:rPr>
        <w:t>注重引才引智，实施高层次人才引进和创新团队建设计划。重点引进教授、博士等高层次人才。实施人才队伍、青年教师和青年干部培养计划，实施应用型专业师资建设计划</w:t>
      </w:r>
      <w:r>
        <w:rPr>
          <w:rFonts w:hint="eastAsia" w:ascii="方正仿宋_GBK" w:hAnsi="方正仿宋_GBK" w:eastAsia="方正仿宋_GBK" w:cs="方正仿宋_GBK"/>
          <w:spacing w:val="4"/>
          <w:kern w:val="0"/>
          <w:sz w:val="32"/>
          <w:szCs w:val="32"/>
          <w:lang w:eastAsia="zh-CN"/>
        </w:rPr>
        <w:t>。</w:t>
      </w:r>
      <w:r>
        <w:rPr>
          <w:rFonts w:hint="eastAsia" w:ascii="方正仿宋_GBK" w:hAnsi="方正仿宋_GBK" w:eastAsia="方正仿宋_GBK" w:cs="方正仿宋_GBK"/>
          <w:spacing w:val="4"/>
          <w:kern w:val="0"/>
          <w:sz w:val="32"/>
          <w:szCs w:val="32"/>
        </w:rPr>
        <w:t>同时</w:t>
      </w:r>
      <w:r>
        <w:rPr>
          <w:rFonts w:hint="eastAsia" w:ascii="方正仿宋_GBK" w:hAnsi="方正仿宋_GBK" w:eastAsia="方正仿宋_GBK" w:cs="方正仿宋_GBK"/>
          <w:spacing w:val="4"/>
          <w:kern w:val="0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pacing w:val="4"/>
          <w:kern w:val="0"/>
          <w:sz w:val="32"/>
          <w:szCs w:val="32"/>
        </w:rPr>
        <w:t>并通过进修和实践锻炼，建立起一支满足教学科研需求，具有应用型专业知识结构、学习或实践背景的高水平师资队伍。实施师资队伍国际化成长计划，加强教师国际交流，推动师资队伍国际化发展。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59" w:firstLineChars="200"/>
        <w:jc w:val="left"/>
        <w:textAlignment w:val="auto"/>
        <w:rPr>
          <w:rFonts w:hint="eastAsia" w:ascii="方正楷体_GBK" w:hAnsi="方正楷体_GBK" w:eastAsia="方正楷体_GBK" w:cs="方正楷体_GBK"/>
          <w:b/>
          <w:bCs/>
          <w:spacing w:val="4"/>
          <w:kern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/>
          <w:bCs/>
          <w:spacing w:val="4"/>
          <w:kern w:val="0"/>
          <w:sz w:val="32"/>
          <w:szCs w:val="32"/>
        </w:rPr>
        <w:t>措施</w:t>
      </w:r>
      <w:r>
        <w:rPr>
          <w:rFonts w:hint="eastAsia" w:ascii="方正楷体_GBK" w:hAnsi="方正楷体_GBK" w:eastAsia="方正楷体_GBK" w:cs="方正楷体_GBK"/>
          <w:b/>
          <w:bCs/>
          <w:spacing w:val="4"/>
          <w:kern w:val="0"/>
          <w:sz w:val="32"/>
          <w:szCs w:val="32"/>
          <w:lang w:val="en-US" w:eastAsia="zh-CN"/>
        </w:rPr>
        <w:t>3</w:t>
      </w:r>
      <w:r>
        <w:rPr>
          <w:rFonts w:hint="eastAsia" w:ascii="方正楷体_GBK" w:hAnsi="方正楷体_GBK" w:eastAsia="方正楷体_GBK" w:cs="方正楷体_GBK"/>
          <w:b/>
          <w:bCs/>
          <w:spacing w:val="4"/>
          <w:kern w:val="0"/>
          <w:sz w:val="32"/>
          <w:szCs w:val="32"/>
        </w:rPr>
        <w:t>：抓好教学资源建设和课程建设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56" w:firstLineChars="200"/>
        <w:jc w:val="left"/>
        <w:textAlignment w:val="auto"/>
        <w:rPr>
          <w:rFonts w:hint="eastAsia" w:ascii="方正仿宋_GBK" w:hAnsi="方正仿宋_GBK" w:eastAsia="方正仿宋_GBK" w:cs="方正仿宋_GBK"/>
          <w:spacing w:val="4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4"/>
          <w:kern w:val="0"/>
          <w:sz w:val="32"/>
          <w:szCs w:val="32"/>
        </w:rPr>
        <w:t>继续完善课程体系，促进专业教育与创新创业教育有机融合，调整专业课程设置，挖掘和充实各类专业课程的教育资源</w:t>
      </w:r>
      <w:r>
        <w:rPr>
          <w:rFonts w:hint="eastAsia" w:ascii="方正仿宋_GBK" w:hAnsi="方正仿宋_GBK" w:eastAsia="方正仿宋_GBK" w:cs="方正仿宋_GBK"/>
          <w:spacing w:val="4"/>
          <w:kern w:val="0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pacing w:val="4"/>
          <w:kern w:val="0"/>
          <w:sz w:val="32"/>
          <w:szCs w:val="32"/>
        </w:rPr>
        <w:t>加强创新创业教育。加快优质课程信息化建设，推进混改课程建设，视频公开课、资源共享的慕课、微课等在线开放课程建设。把职业岗位所需要的知识、技能和职业素养融入相关专业教学中。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59" w:firstLineChars="200"/>
        <w:jc w:val="left"/>
        <w:textAlignment w:val="auto"/>
        <w:rPr>
          <w:rFonts w:hint="eastAsia" w:ascii="方正楷体_GBK" w:hAnsi="方正楷体_GBK" w:eastAsia="方正楷体_GBK" w:cs="方正楷体_GBK"/>
          <w:b/>
          <w:bCs/>
          <w:spacing w:val="4"/>
          <w:kern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/>
          <w:bCs/>
          <w:spacing w:val="4"/>
          <w:kern w:val="0"/>
          <w:sz w:val="32"/>
          <w:szCs w:val="32"/>
        </w:rPr>
        <w:t>措施</w:t>
      </w:r>
      <w:r>
        <w:rPr>
          <w:rFonts w:hint="eastAsia" w:ascii="方正楷体_GBK" w:hAnsi="方正楷体_GBK" w:eastAsia="方正楷体_GBK" w:cs="方正楷体_GBK"/>
          <w:b/>
          <w:bCs/>
          <w:spacing w:val="4"/>
          <w:kern w:val="0"/>
          <w:sz w:val="32"/>
          <w:szCs w:val="32"/>
          <w:lang w:val="en-US" w:eastAsia="zh-CN"/>
        </w:rPr>
        <w:t>4：</w:t>
      </w:r>
      <w:r>
        <w:rPr>
          <w:rFonts w:hint="eastAsia" w:ascii="方正楷体_GBK" w:hAnsi="方正楷体_GBK" w:eastAsia="方正楷体_GBK" w:cs="方正楷体_GBK"/>
          <w:b/>
          <w:bCs/>
          <w:spacing w:val="4"/>
          <w:kern w:val="0"/>
          <w:sz w:val="32"/>
          <w:szCs w:val="32"/>
        </w:rPr>
        <w:t>加快推进</w:t>
      </w:r>
      <w:r>
        <w:rPr>
          <w:rFonts w:hint="eastAsia" w:ascii="方正楷体_GBK" w:hAnsi="方正楷体_GBK" w:eastAsia="方正楷体_GBK" w:cs="方正楷体_GBK"/>
          <w:b/>
          <w:bCs/>
          <w:spacing w:val="4"/>
          <w:kern w:val="0"/>
          <w:sz w:val="32"/>
          <w:szCs w:val="32"/>
          <w:lang w:eastAsia="zh-CN"/>
        </w:rPr>
        <w:t>我院</w:t>
      </w:r>
      <w:r>
        <w:rPr>
          <w:rFonts w:hint="eastAsia" w:ascii="方正楷体_GBK" w:hAnsi="方正楷体_GBK" w:eastAsia="方正楷体_GBK" w:cs="方正楷体_GBK"/>
          <w:b/>
          <w:bCs/>
          <w:spacing w:val="4"/>
          <w:kern w:val="0"/>
          <w:sz w:val="32"/>
          <w:szCs w:val="32"/>
        </w:rPr>
        <w:t xml:space="preserve">基础设施建设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56" w:firstLineChars="200"/>
        <w:jc w:val="left"/>
        <w:textAlignment w:val="auto"/>
        <w:rPr>
          <w:rFonts w:hint="eastAsia" w:ascii="方正仿宋_GBK" w:hAnsi="方正仿宋_GBK" w:eastAsia="方正仿宋_GBK" w:cs="方正仿宋_GBK"/>
          <w:spacing w:val="4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4"/>
          <w:kern w:val="0"/>
          <w:sz w:val="32"/>
          <w:szCs w:val="32"/>
        </w:rPr>
        <w:t>以</w:t>
      </w:r>
      <w:r>
        <w:rPr>
          <w:rFonts w:hint="eastAsia" w:ascii="方正仿宋_GBK" w:hAnsi="方正仿宋_GBK" w:eastAsia="方正仿宋_GBK" w:cs="方正仿宋_GBK"/>
          <w:spacing w:val="4"/>
          <w:kern w:val="0"/>
          <w:sz w:val="32"/>
          <w:szCs w:val="32"/>
          <w:lang w:eastAsia="zh-CN"/>
        </w:rPr>
        <w:t>我院</w:t>
      </w:r>
      <w:r>
        <w:rPr>
          <w:rFonts w:hint="eastAsia" w:ascii="方正仿宋_GBK" w:hAnsi="方正仿宋_GBK" w:eastAsia="方正仿宋_GBK" w:cs="方正仿宋_GBK"/>
          <w:spacing w:val="4"/>
          <w:kern w:val="0"/>
          <w:sz w:val="32"/>
          <w:szCs w:val="32"/>
        </w:rPr>
        <w:t>三</w:t>
      </w:r>
      <w:r>
        <w:rPr>
          <w:rFonts w:hint="eastAsia" w:ascii="方正仿宋_GBK" w:hAnsi="方正仿宋_GBK" w:eastAsia="方正仿宋_GBK" w:cs="方正仿宋_GBK"/>
          <w:spacing w:val="4"/>
          <w:kern w:val="0"/>
          <w:sz w:val="32"/>
          <w:szCs w:val="32"/>
          <w:lang w:eastAsia="zh-CN"/>
        </w:rPr>
        <w:t>、四</w:t>
      </w:r>
      <w:r>
        <w:rPr>
          <w:rFonts w:hint="eastAsia" w:ascii="方正仿宋_GBK" w:hAnsi="方正仿宋_GBK" w:eastAsia="方正仿宋_GBK" w:cs="方正仿宋_GBK"/>
          <w:spacing w:val="4"/>
          <w:kern w:val="0"/>
          <w:sz w:val="32"/>
          <w:szCs w:val="32"/>
        </w:rPr>
        <w:t>期基础设施建设为重点，对校园实施全面规划和科学布局，优化基础设施</w:t>
      </w:r>
      <w:r>
        <w:rPr>
          <w:rFonts w:hint="eastAsia" w:ascii="方正仿宋_GBK" w:hAnsi="方正仿宋_GBK" w:eastAsia="方正仿宋_GBK" w:cs="方正仿宋_GBK"/>
          <w:spacing w:val="4"/>
          <w:kern w:val="0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pacing w:val="4"/>
          <w:kern w:val="0"/>
          <w:sz w:val="32"/>
          <w:szCs w:val="32"/>
        </w:rPr>
        <w:t>推进智慧校园、绿色校园、文明校园建设，推进服务创新，为师生提供安全、卫生、舒适的生活学习环境。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59" w:firstLineChars="200"/>
        <w:jc w:val="left"/>
        <w:textAlignment w:val="auto"/>
        <w:rPr>
          <w:rFonts w:hint="eastAsia" w:ascii="方正楷体_GBK" w:hAnsi="方正楷体_GBK" w:eastAsia="方正楷体_GBK" w:cs="方正楷体_GBK"/>
          <w:b/>
          <w:bCs/>
          <w:spacing w:val="4"/>
          <w:kern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/>
          <w:bCs/>
          <w:spacing w:val="4"/>
          <w:kern w:val="0"/>
          <w:sz w:val="32"/>
          <w:szCs w:val="32"/>
        </w:rPr>
        <w:t>措施</w:t>
      </w:r>
      <w:r>
        <w:rPr>
          <w:rFonts w:hint="eastAsia" w:ascii="方正楷体_GBK" w:hAnsi="方正楷体_GBK" w:eastAsia="方正楷体_GBK" w:cs="方正楷体_GBK"/>
          <w:b/>
          <w:bCs/>
          <w:spacing w:val="4"/>
          <w:kern w:val="0"/>
          <w:sz w:val="32"/>
          <w:szCs w:val="32"/>
          <w:lang w:val="en-US" w:eastAsia="zh-CN"/>
        </w:rPr>
        <w:t>5</w:t>
      </w:r>
      <w:r>
        <w:rPr>
          <w:rFonts w:hint="eastAsia" w:ascii="方正楷体_GBK" w:hAnsi="方正楷体_GBK" w:eastAsia="方正楷体_GBK" w:cs="方正楷体_GBK"/>
          <w:b/>
          <w:bCs/>
          <w:spacing w:val="4"/>
          <w:kern w:val="0"/>
          <w:sz w:val="32"/>
          <w:szCs w:val="32"/>
        </w:rPr>
        <w:t>：强化技术积累和社会服务能力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56" w:firstLineChars="200"/>
        <w:textAlignment w:val="auto"/>
        <w:rPr>
          <w:rFonts w:hint="eastAsia" w:ascii="方正仿宋_GBK" w:hAnsi="方正仿宋_GBK" w:eastAsia="方正仿宋_GBK" w:cs="方正仿宋_GBK"/>
          <w:spacing w:val="4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4"/>
          <w:kern w:val="0"/>
          <w:sz w:val="32"/>
          <w:szCs w:val="32"/>
        </w:rPr>
        <w:t>充分发挥优势与特色，整合优势资源，搭建科研平台，培育优秀科技创新团队，提高科技创新能力。深化校企交流，促进成果转化，针对生产技术难题校企联合攻关，培育高水平科技成果。依托专业优势，构建培训品牌，以“重庆建筑产业化工程技术研究中心”“装配式建筑应用技术推广中心”为依托，打造集技术研究、技术推广研究应用平台和社会培训、技能鉴定、技能竞赛等多功能于一体的建设行业高端技术人才培养基地。</w:t>
      </w:r>
    </w:p>
    <w:p>
      <w:pPr>
        <w:pStyle w:val="2"/>
        <w:numPr>
          <w:ilvl w:val="0"/>
          <w:numId w:val="0"/>
        </w:numPr>
        <w:ind w:leftChars="400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8564A0"/>
    <w:rsid w:val="00E50DB6"/>
    <w:rsid w:val="0144189F"/>
    <w:rsid w:val="02E83921"/>
    <w:rsid w:val="030C22D4"/>
    <w:rsid w:val="034622C2"/>
    <w:rsid w:val="05C210F1"/>
    <w:rsid w:val="06257D57"/>
    <w:rsid w:val="068C3AD7"/>
    <w:rsid w:val="06A13022"/>
    <w:rsid w:val="071674CA"/>
    <w:rsid w:val="083924BE"/>
    <w:rsid w:val="08F825B4"/>
    <w:rsid w:val="0D51489A"/>
    <w:rsid w:val="0D9B4FEB"/>
    <w:rsid w:val="0FD73D16"/>
    <w:rsid w:val="10653397"/>
    <w:rsid w:val="158E0D39"/>
    <w:rsid w:val="18F8525A"/>
    <w:rsid w:val="1B25595E"/>
    <w:rsid w:val="1DE624F8"/>
    <w:rsid w:val="1F2267C7"/>
    <w:rsid w:val="211B7809"/>
    <w:rsid w:val="22475A4E"/>
    <w:rsid w:val="23931DEA"/>
    <w:rsid w:val="23F0266C"/>
    <w:rsid w:val="24CE3048"/>
    <w:rsid w:val="24DD1914"/>
    <w:rsid w:val="262E3324"/>
    <w:rsid w:val="267959BB"/>
    <w:rsid w:val="26EA3598"/>
    <w:rsid w:val="2C4B13FD"/>
    <w:rsid w:val="2DE768DF"/>
    <w:rsid w:val="2F5466B5"/>
    <w:rsid w:val="2F5A502D"/>
    <w:rsid w:val="30D92873"/>
    <w:rsid w:val="31100A5A"/>
    <w:rsid w:val="33443C90"/>
    <w:rsid w:val="382B4362"/>
    <w:rsid w:val="397D3D07"/>
    <w:rsid w:val="3A272427"/>
    <w:rsid w:val="3A5F75BE"/>
    <w:rsid w:val="3A940DE4"/>
    <w:rsid w:val="3C853B52"/>
    <w:rsid w:val="3F4770B5"/>
    <w:rsid w:val="42983ECB"/>
    <w:rsid w:val="42ED0011"/>
    <w:rsid w:val="44A05AE5"/>
    <w:rsid w:val="44E24FA2"/>
    <w:rsid w:val="4C3336B4"/>
    <w:rsid w:val="4C7B41F2"/>
    <w:rsid w:val="550D3DC8"/>
    <w:rsid w:val="56E47DBE"/>
    <w:rsid w:val="57B748FA"/>
    <w:rsid w:val="58066F64"/>
    <w:rsid w:val="5D0E2791"/>
    <w:rsid w:val="61B77664"/>
    <w:rsid w:val="63CC6845"/>
    <w:rsid w:val="64D27697"/>
    <w:rsid w:val="64DE06CD"/>
    <w:rsid w:val="67047288"/>
    <w:rsid w:val="68607874"/>
    <w:rsid w:val="6AE0582C"/>
    <w:rsid w:val="6E6C7B44"/>
    <w:rsid w:val="70427D22"/>
    <w:rsid w:val="71E14A3D"/>
    <w:rsid w:val="732043D9"/>
    <w:rsid w:val="7383682B"/>
    <w:rsid w:val="74E11783"/>
    <w:rsid w:val="76DA0A05"/>
    <w:rsid w:val="77220618"/>
    <w:rsid w:val="7F150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5">
    <w:name w:val="heading 2"/>
    <w:basedOn w:val="1"/>
    <w:next w:val="1"/>
    <w:qFormat/>
    <w:uiPriority w:val="0"/>
    <w:pPr>
      <w:keepNext/>
      <w:keepLines/>
      <w:spacing w:line="560" w:lineRule="exact"/>
      <w:outlineLvl w:val="1"/>
    </w:pPr>
    <w:rPr>
      <w:rFonts w:ascii="Calibri Light" w:hAnsi="Calibri Light" w:eastAsia="楷体"/>
      <w:b/>
      <w:bCs/>
      <w:sz w:val="32"/>
      <w:szCs w:val="32"/>
    </w:rPr>
  </w:style>
  <w:style w:type="paragraph" w:styleId="6">
    <w:name w:val="heading 3"/>
    <w:basedOn w:val="1"/>
    <w:next w:val="1"/>
    <w:qFormat/>
    <w:uiPriority w:val="0"/>
    <w:pPr>
      <w:keepNext/>
      <w:keepLines/>
      <w:spacing w:line="560" w:lineRule="exact"/>
      <w:outlineLvl w:val="2"/>
    </w:pPr>
    <w:rPr>
      <w:rFonts w:eastAsia="楷体"/>
      <w:b/>
      <w:bCs/>
      <w:sz w:val="32"/>
      <w:szCs w:val="32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ind w:left="420" w:leftChars="2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jc w:val="left"/>
    </w:pPr>
    <w:rPr>
      <w:kern w:val="0"/>
      <w:sz w:val="24"/>
    </w:rPr>
  </w:style>
  <w:style w:type="paragraph" w:customStyle="1" w:styleId="12">
    <w:name w:val="列出段落2"/>
    <w:basedOn w:val="1"/>
    <w:qFormat/>
    <w:uiPriority w:val="0"/>
    <w:pPr>
      <w:ind w:firstLine="420" w:firstLineChars="200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2020-09-17T00:54:00Z</dcterms:created>
  <dc:creator>Zh</dc:creator>
  <cp:lastModifiedBy>小敏</cp:lastModifiedBy>
  <dcterms:modified xsi:type="dcterms:W3CDTF">2020-10-21T06:13:52Z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